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0CB7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444"/>
        <w:gridCol w:w="1535"/>
        <w:gridCol w:w="8404"/>
      </w:tblGrid>
      <w:tr w:rsidR="007A0A3D" w:rsidRPr="002450C4" w14:paraId="609C2DCD" w14:textId="77777777" w:rsidTr="006A60C6">
        <w:tc>
          <w:tcPr>
            <w:tcW w:w="437" w:type="dxa"/>
          </w:tcPr>
          <w:p w14:paraId="7F37B0A1" w14:textId="77777777" w:rsidR="007A0A3D" w:rsidRPr="002450C4" w:rsidRDefault="007A0A3D" w:rsidP="00980200">
            <w:pPr>
              <w:ind w:right="-99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167FFCC3" w14:textId="77777777" w:rsidR="007A0A3D" w:rsidRPr="002450C4" w:rsidRDefault="007A0A3D" w:rsidP="00980200">
            <w:pPr>
              <w:ind w:right="-162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371" w:type="dxa"/>
          </w:tcPr>
          <w:p w14:paraId="47108A73" w14:textId="77777777" w:rsidR="007A0A3D" w:rsidRPr="00C33C18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33C18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2450C4" w14:paraId="08B0135B" w14:textId="77777777" w:rsidTr="006A60C6">
        <w:tc>
          <w:tcPr>
            <w:tcW w:w="437" w:type="dxa"/>
          </w:tcPr>
          <w:p w14:paraId="6295EB03" w14:textId="070E5681" w:rsidR="007A0A3D" w:rsidRPr="002450C4" w:rsidRDefault="00715D46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1. </w:t>
            </w:r>
          </w:p>
        </w:tc>
        <w:tc>
          <w:tcPr>
            <w:tcW w:w="1535" w:type="dxa"/>
          </w:tcPr>
          <w:p w14:paraId="2C65AE41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371" w:type="dxa"/>
          </w:tcPr>
          <w:p w14:paraId="53DAB71F" w14:textId="1A199C52" w:rsidR="007A0A3D" w:rsidRPr="00C33C18" w:rsidRDefault="006B5777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6B5777">
              <w:rPr>
                <w:rFonts w:cstheme="minorHAnsi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7A0A3D" w:rsidRPr="002450C4" w14:paraId="7F9B7746" w14:textId="77777777" w:rsidTr="006A60C6">
        <w:trPr>
          <w:trHeight w:val="265"/>
        </w:trPr>
        <w:tc>
          <w:tcPr>
            <w:tcW w:w="437" w:type="dxa"/>
          </w:tcPr>
          <w:p w14:paraId="65E33D88" w14:textId="7F7302DF" w:rsidR="007A0A3D" w:rsidRPr="002450C4" w:rsidRDefault="00715D46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2.</w:t>
            </w:r>
          </w:p>
        </w:tc>
        <w:tc>
          <w:tcPr>
            <w:tcW w:w="1535" w:type="dxa"/>
          </w:tcPr>
          <w:p w14:paraId="59BC8271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371" w:type="dxa"/>
          </w:tcPr>
          <w:p w14:paraId="2FE50271" w14:textId="2B02C538" w:rsidR="001C611C" w:rsidRPr="00C33C18" w:rsidRDefault="00C33C18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33C18">
              <w:rPr>
                <w:rFonts w:cstheme="minorHAnsi"/>
                <w:sz w:val="18"/>
                <w:szCs w:val="18"/>
              </w:rPr>
              <w:t>Główny Urząd Miar</w:t>
            </w:r>
          </w:p>
        </w:tc>
      </w:tr>
      <w:tr w:rsidR="007A0A3D" w:rsidRPr="002450C4" w14:paraId="7957EA88" w14:textId="77777777" w:rsidTr="006A60C6">
        <w:tc>
          <w:tcPr>
            <w:tcW w:w="437" w:type="dxa"/>
          </w:tcPr>
          <w:p w14:paraId="0A3BAA8D" w14:textId="57105B59" w:rsidR="007A0A3D" w:rsidRPr="002450C4" w:rsidRDefault="00715D46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3.</w:t>
            </w:r>
          </w:p>
        </w:tc>
        <w:tc>
          <w:tcPr>
            <w:tcW w:w="1535" w:type="dxa"/>
          </w:tcPr>
          <w:p w14:paraId="2E0A88EA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371" w:type="dxa"/>
          </w:tcPr>
          <w:p w14:paraId="65333A7E" w14:textId="4D8183A8" w:rsidR="007A0A3D" w:rsidRPr="00C33C18" w:rsidRDefault="00C33C18" w:rsidP="00FD074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brak</w:t>
            </w:r>
            <w:r w:rsidR="00A1534B" w:rsidRPr="00C33C18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3B107D" w:rsidRPr="002450C4" w14:paraId="768B7D3C" w14:textId="77777777" w:rsidTr="006A60C6">
        <w:tc>
          <w:tcPr>
            <w:tcW w:w="437" w:type="dxa"/>
          </w:tcPr>
          <w:p w14:paraId="3CCD5FCA" w14:textId="2E1BA5DC" w:rsidR="003B107D" w:rsidRPr="002450C4" w:rsidRDefault="00715D46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4.</w:t>
            </w:r>
          </w:p>
        </w:tc>
        <w:tc>
          <w:tcPr>
            <w:tcW w:w="1535" w:type="dxa"/>
          </w:tcPr>
          <w:p w14:paraId="2DE08FF1" w14:textId="77777777" w:rsidR="003B107D" w:rsidRPr="008170CD" w:rsidRDefault="005A4344" w:rsidP="0092099A">
            <w:pPr>
              <w:jc w:val="both"/>
              <w:rPr>
                <w:sz w:val="18"/>
                <w:szCs w:val="20"/>
              </w:rPr>
            </w:pPr>
            <w:r w:rsidRPr="008170CD">
              <w:rPr>
                <w:sz w:val="18"/>
                <w:szCs w:val="20"/>
              </w:rPr>
              <w:t>Postęp finansowy</w:t>
            </w:r>
          </w:p>
        </w:tc>
        <w:tc>
          <w:tcPr>
            <w:tcW w:w="8371" w:type="dxa"/>
          </w:tcPr>
          <w:p w14:paraId="3101BAC6" w14:textId="5A3CCEEC" w:rsidR="00CA13A7" w:rsidRPr="00A8555A" w:rsidRDefault="007972FA" w:rsidP="006A756A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Pierwotny planowany koszt realizacji</w:t>
            </w:r>
            <w:r w:rsidR="00D25DF0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B200E3" w:rsidRPr="00B200E3">
              <w:rPr>
                <w:rFonts w:cstheme="minorHAnsi"/>
                <w:sz w:val="18"/>
                <w:szCs w:val="18"/>
                <w:lang w:val="pl-PL"/>
              </w:rPr>
              <w:t xml:space="preserve">8 652 739,20 </w:t>
            </w:r>
            <w:r w:rsidR="006A756A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PLN</w:t>
            </w:r>
          </w:p>
          <w:p w14:paraId="480FF06D" w14:textId="69788A55" w:rsidR="001B08D4" w:rsidRPr="00A8555A" w:rsidRDefault="007972FA" w:rsidP="007972FA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 planowany koszt realizacji projektu</w:t>
            </w:r>
            <w:r w:rsidR="00D25DF0" w:rsidRPr="00A8555A">
              <w:rPr>
                <w:rFonts w:cstheme="minorHAnsi"/>
                <w:sz w:val="18"/>
                <w:szCs w:val="18"/>
              </w:rPr>
              <w:t>:</w:t>
            </w:r>
            <w:r w:rsidR="00B401BE" w:rsidRPr="00A8555A">
              <w:rPr>
                <w:rFonts w:cstheme="minorHAnsi"/>
              </w:rPr>
              <w:t xml:space="preserve"> </w:t>
            </w:r>
            <w:r w:rsidR="0081186F" w:rsidRPr="0081186F">
              <w:rPr>
                <w:rFonts w:cstheme="minorHAnsi"/>
                <w:sz w:val="18"/>
                <w:szCs w:val="18"/>
              </w:rPr>
              <w:t>12 852 739,2</w:t>
            </w:r>
            <w:r w:rsidR="0081186F">
              <w:rPr>
                <w:rFonts w:cstheme="minorHAnsi"/>
                <w:sz w:val="18"/>
                <w:szCs w:val="18"/>
              </w:rPr>
              <w:t>0</w:t>
            </w:r>
            <w:r w:rsidR="00917C76" w:rsidRPr="00497AA8">
              <w:rPr>
                <w:rFonts w:cstheme="minorHAnsi"/>
                <w:sz w:val="18"/>
                <w:szCs w:val="18"/>
              </w:rPr>
              <w:t xml:space="preserve"> </w:t>
            </w:r>
            <w:r w:rsidR="00B401BE" w:rsidRPr="00A8555A">
              <w:rPr>
                <w:rFonts w:cstheme="minorHAnsi"/>
                <w:sz w:val="18"/>
                <w:szCs w:val="18"/>
              </w:rPr>
              <w:t>PLN</w:t>
            </w:r>
          </w:p>
          <w:p w14:paraId="40A7981E" w14:textId="053000C4" w:rsidR="007972FA" w:rsidRPr="00A8555A" w:rsidRDefault="007972FA" w:rsidP="00791AD8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3450CE">
              <w:rPr>
                <w:rFonts w:cstheme="minorHAnsi"/>
                <w:sz w:val="18"/>
                <w:szCs w:val="18"/>
              </w:rPr>
              <w:t>Faktyczny koszt projektu</w:t>
            </w:r>
            <w:r w:rsidR="009B1C00" w:rsidRPr="003450CE">
              <w:rPr>
                <w:rFonts w:cstheme="minorHAnsi"/>
                <w:sz w:val="18"/>
                <w:szCs w:val="18"/>
              </w:rPr>
              <w:t xml:space="preserve">: </w:t>
            </w:r>
            <w:r w:rsidR="004B3CD9" w:rsidRPr="004B3CD9">
              <w:rPr>
                <w:rFonts w:cstheme="minorHAnsi"/>
                <w:sz w:val="18"/>
                <w:szCs w:val="18"/>
              </w:rPr>
              <w:t>11 925 798,85</w:t>
            </w:r>
            <w:r w:rsidR="004B3CD9">
              <w:rPr>
                <w:rFonts w:cstheme="minorHAnsi"/>
                <w:sz w:val="18"/>
                <w:szCs w:val="18"/>
              </w:rPr>
              <w:t xml:space="preserve"> </w:t>
            </w:r>
            <w:r w:rsidR="00E52208" w:rsidRPr="003450CE">
              <w:rPr>
                <w:rFonts w:cstheme="minorHAnsi"/>
                <w:sz w:val="18"/>
                <w:szCs w:val="18"/>
              </w:rPr>
              <w:t>PLN</w:t>
            </w:r>
            <w:r w:rsidR="00C3398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7B44FC" w14:textId="77777777" w:rsidR="007972FA" w:rsidRPr="00A8555A" w:rsidRDefault="007972FA" w:rsidP="00BC120E">
            <w:pPr>
              <w:jc w:val="both"/>
              <w:rPr>
                <w:bCs/>
                <w:color w:val="000000"/>
              </w:rPr>
            </w:pPr>
          </w:p>
          <w:p w14:paraId="21F024C0" w14:textId="139E245B" w:rsidR="005B7363" w:rsidRPr="00A8555A" w:rsidRDefault="007972FA" w:rsidP="00CA13A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>Zakontraktowana wartość dofinansowania</w:t>
            </w:r>
            <w:r w:rsidR="005B7363"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200854" w:rsidRPr="00200854">
              <w:rPr>
                <w:rFonts w:cstheme="minorHAnsi"/>
                <w:sz w:val="18"/>
                <w:szCs w:val="18"/>
                <w:lang w:val="pl-PL"/>
              </w:rPr>
              <w:t xml:space="preserve">12 852 739,20 </w:t>
            </w:r>
            <w:r w:rsidR="00CA13A7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PLN</w:t>
            </w:r>
          </w:p>
          <w:p w14:paraId="16A57B09" w14:textId="17D90F42" w:rsidR="007972FA" w:rsidRPr="008170CD" w:rsidRDefault="007972FA" w:rsidP="00BC120E">
            <w:pPr>
              <w:jc w:val="both"/>
              <w:rPr>
                <w:sz w:val="18"/>
                <w:szCs w:val="18"/>
              </w:rPr>
            </w:pPr>
            <w:r w:rsidRPr="48A463A8">
              <w:rPr>
                <w:sz w:val="18"/>
                <w:szCs w:val="18"/>
              </w:rPr>
              <w:t>Poziom certyfikacji w odniesieniu do zakontraktowanej wartości dofinansowania: 8</w:t>
            </w:r>
            <w:r w:rsidR="00183D1F" w:rsidRPr="48A463A8">
              <w:rPr>
                <w:sz w:val="18"/>
                <w:szCs w:val="18"/>
              </w:rPr>
              <w:t xml:space="preserve">4,63 </w:t>
            </w:r>
            <w:r w:rsidRPr="48A463A8">
              <w:rPr>
                <w:sz w:val="18"/>
                <w:szCs w:val="18"/>
              </w:rPr>
              <w:t>%</w:t>
            </w:r>
          </w:p>
          <w:p w14:paraId="719F5FC3" w14:textId="77777777" w:rsidR="00854F2A" w:rsidRDefault="00854F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E5901BE" w14:textId="216331DC" w:rsidR="007708CC" w:rsidRPr="008170CD" w:rsidRDefault="002315DE" w:rsidP="00BC120E">
            <w:pPr>
              <w:jc w:val="both"/>
              <w:rPr>
                <w:sz w:val="18"/>
                <w:szCs w:val="18"/>
              </w:rPr>
            </w:pPr>
            <w:r w:rsidRPr="7D696B38">
              <w:rPr>
                <w:sz w:val="18"/>
                <w:szCs w:val="18"/>
              </w:rPr>
              <w:t xml:space="preserve">Wartość środków wydatkowanych wynosi </w:t>
            </w:r>
            <w:r w:rsidR="00E96BB5" w:rsidRPr="7D696B38">
              <w:rPr>
                <w:sz w:val="18"/>
                <w:szCs w:val="18"/>
              </w:rPr>
              <w:t>92</w:t>
            </w:r>
            <w:r w:rsidR="29A5616C" w:rsidRPr="7D696B38">
              <w:rPr>
                <w:sz w:val="18"/>
                <w:szCs w:val="18"/>
              </w:rPr>
              <w:t>,</w:t>
            </w:r>
            <w:r w:rsidR="00CD1B1E" w:rsidRPr="7D696B38">
              <w:rPr>
                <w:sz w:val="18"/>
                <w:szCs w:val="18"/>
              </w:rPr>
              <w:t xml:space="preserve">79 </w:t>
            </w:r>
            <w:r w:rsidRPr="7D696B38">
              <w:rPr>
                <w:sz w:val="18"/>
                <w:szCs w:val="18"/>
              </w:rPr>
              <w:t>%</w:t>
            </w:r>
          </w:p>
          <w:p w14:paraId="4CCC52E1" w14:textId="46B15178" w:rsidR="006435A1" w:rsidRPr="008170CD" w:rsidRDefault="00090D3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Czas realizacji projektu wynosi 100%</w:t>
            </w:r>
          </w:p>
          <w:p w14:paraId="5C426BC9" w14:textId="77777777" w:rsidR="00A031F9" w:rsidRPr="008170CD" w:rsidRDefault="00A031F9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2A5A0A" w14:textId="2B91395F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1. </w:t>
            </w:r>
            <w:r w:rsidR="003A3A3B" w:rsidRPr="00071053">
              <w:rPr>
                <w:rFonts w:cstheme="minorHAnsi"/>
                <w:sz w:val="18"/>
                <w:szCs w:val="18"/>
              </w:rPr>
              <w:t>Inf</w:t>
            </w:r>
            <w:r w:rsidR="00B10875" w:rsidRPr="00071053">
              <w:rPr>
                <w:rFonts w:cstheme="minorHAnsi"/>
                <w:sz w:val="18"/>
                <w:szCs w:val="18"/>
              </w:rPr>
              <w:t xml:space="preserve">rastruktura teleinformatyczna </w:t>
            </w:r>
            <w:r w:rsidRPr="00071053">
              <w:rPr>
                <w:rFonts w:cstheme="minorHAnsi"/>
                <w:sz w:val="18"/>
                <w:szCs w:val="18"/>
              </w:rPr>
              <w:t xml:space="preserve"> </w:t>
            </w:r>
            <w:r w:rsidR="005040FE" w:rsidRPr="00071053">
              <w:rPr>
                <w:rFonts w:cstheme="minorHAnsi"/>
                <w:sz w:val="18"/>
                <w:szCs w:val="18"/>
              </w:rPr>
              <w:t>–</w:t>
            </w:r>
            <w:r w:rsidRPr="00071053">
              <w:rPr>
                <w:rFonts w:cstheme="minorHAnsi"/>
                <w:sz w:val="18"/>
                <w:szCs w:val="18"/>
              </w:rPr>
              <w:t xml:space="preserve"> Zrealizowane</w:t>
            </w:r>
            <w:r w:rsidR="005040FE" w:rsidRPr="00071053">
              <w:rPr>
                <w:rFonts w:cstheme="minorHAnsi"/>
                <w:sz w:val="18"/>
                <w:szCs w:val="18"/>
              </w:rPr>
              <w:t xml:space="preserve"> w całości</w:t>
            </w:r>
          </w:p>
          <w:p w14:paraId="7ACCF152" w14:textId="3858F5E0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2. </w:t>
            </w:r>
            <w:r w:rsidR="00B10875" w:rsidRPr="00071053">
              <w:rPr>
                <w:rFonts w:cstheme="minorHAnsi"/>
                <w:sz w:val="18"/>
                <w:szCs w:val="18"/>
              </w:rPr>
              <w:t>Oprogramowanie TRANS - TACHO</w:t>
            </w:r>
            <w:r w:rsidRPr="00071053">
              <w:rPr>
                <w:rFonts w:cstheme="minorHAnsi"/>
                <w:sz w:val="18"/>
                <w:szCs w:val="18"/>
              </w:rPr>
              <w:t xml:space="preserve"> - </w:t>
            </w:r>
            <w:r w:rsidR="005040FE" w:rsidRPr="00071053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2352BFC4" w14:textId="01E6341F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3. </w:t>
            </w:r>
            <w:r w:rsidR="00CB7C0D" w:rsidRPr="00071053">
              <w:rPr>
                <w:rFonts w:cstheme="minorHAnsi"/>
                <w:sz w:val="18"/>
                <w:szCs w:val="18"/>
              </w:rPr>
              <w:t xml:space="preserve">Hosting infrastruktury </w:t>
            </w:r>
            <w:r w:rsidRPr="00071053">
              <w:rPr>
                <w:rFonts w:cstheme="minorHAnsi"/>
                <w:sz w:val="18"/>
                <w:szCs w:val="18"/>
              </w:rPr>
              <w:t xml:space="preserve">- </w:t>
            </w:r>
            <w:r w:rsidR="005040FE" w:rsidRPr="00071053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3893881D" w14:textId="2E19F75C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4. </w:t>
            </w:r>
            <w:r w:rsidR="00CB7C0D" w:rsidRPr="00071053">
              <w:rPr>
                <w:rFonts w:cstheme="minorHAnsi"/>
                <w:sz w:val="18"/>
                <w:szCs w:val="18"/>
              </w:rPr>
              <w:t>Usługi doradcze</w:t>
            </w:r>
            <w:r w:rsidRPr="00071053">
              <w:rPr>
                <w:rFonts w:cstheme="minorHAnsi"/>
                <w:sz w:val="18"/>
                <w:szCs w:val="18"/>
              </w:rPr>
              <w:t xml:space="preserve"> - </w:t>
            </w:r>
            <w:r w:rsidR="005040FE" w:rsidRPr="00071053">
              <w:rPr>
                <w:rFonts w:cstheme="minorHAnsi"/>
                <w:sz w:val="18"/>
                <w:szCs w:val="18"/>
              </w:rPr>
              <w:t>Zrealizowane w całości</w:t>
            </w:r>
            <w:r w:rsidR="00ED0BD7" w:rsidRPr="0007105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D98612" w14:textId="505DC382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5. </w:t>
            </w:r>
            <w:r w:rsidR="00CB7C0D" w:rsidRPr="00071053">
              <w:rPr>
                <w:rFonts w:cstheme="minorHAnsi"/>
                <w:sz w:val="18"/>
                <w:szCs w:val="18"/>
              </w:rPr>
              <w:t xml:space="preserve">Wynagrodzenia bezpośrednie </w:t>
            </w:r>
            <w:r w:rsidRPr="00071053">
              <w:rPr>
                <w:rFonts w:cstheme="minorHAnsi"/>
                <w:sz w:val="18"/>
                <w:szCs w:val="18"/>
              </w:rPr>
              <w:t xml:space="preserve"> - </w:t>
            </w:r>
            <w:r w:rsidR="005040FE" w:rsidRPr="00071053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49F92998" w14:textId="05A8A9D9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6. </w:t>
            </w:r>
            <w:r w:rsidR="00CB7C0D" w:rsidRPr="00071053">
              <w:rPr>
                <w:rFonts w:cstheme="minorHAnsi"/>
                <w:sz w:val="18"/>
                <w:szCs w:val="18"/>
              </w:rPr>
              <w:t>Przygotowanie projektu</w:t>
            </w:r>
            <w:r w:rsidRPr="00071053">
              <w:rPr>
                <w:rFonts w:cstheme="minorHAnsi"/>
                <w:sz w:val="18"/>
                <w:szCs w:val="18"/>
              </w:rPr>
              <w:t xml:space="preserve"> - </w:t>
            </w:r>
            <w:r w:rsidR="005040FE" w:rsidRPr="00071053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76BD89E0" w14:textId="3C3E8AA8" w:rsidR="00295C2A" w:rsidRPr="00071053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 xml:space="preserve">Zadanie nr 7. </w:t>
            </w:r>
            <w:r w:rsidR="00021981" w:rsidRPr="00071053">
              <w:rPr>
                <w:rFonts w:cstheme="minorHAnsi"/>
                <w:sz w:val="18"/>
                <w:szCs w:val="18"/>
              </w:rPr>
              <w:t>Promocja projektu</w:t>
            </w:r>
            <w:r w:rsidRPr="00071053">
              <w:rPr>
                <w:rFonts w:cstheme="minorHAnsi"/>
                <w:sz w:val="18"/>
                <w:szCs w:val="18"/>
              </w:rPr>
              <w:t xml:space="preserve"> - </w:t>
            </w:r>
            <w:r w:rsidR="005040FE" w:rsidRPr="00071053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44A980B1" w14:textId="620391CD" w:rsidR="00021981" w:rsidRPr="008170CD" w:rsidRDefault="00021981" w:rsidP="00295C2A">
            <w:pPr>
              <w:rPr>
                <w:rFonts w:cstheme="minorHAnsi"/>
                <w:sz w:val="18"/>
                <w:szCs w:val="18"/>
              </w:rPr>
            </w:pPr>
            <w:r w:rsidRPr="00071053">
              <w:rPr>
                <w:rFonts w:cstheme="minorHAnsi"/>
                <w:sz w:val="18"/>
                <w:szCs w:val="18"/>
              </w:rPr>
              <w:t>Zadanie nr 8. Wynagrodzenia pośrednie - Zrealizowane w całości</w:t>
            </w:r>
          </w:p>
          <w:p w14:paraId="68659F30" w14:textId="77777777" w:rsidR="00295C2A" w:rsidRPr="008170CD" w:rsidRDefault="00295C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EFA803E" w14:textId="0342B94F" w:rsidR="000B18F4" w:rsidRDefault="00ED0BD7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Oszczędności</w:t>
            </w:r>
            <w:r w:rsidR="005A6AB8">
              <w:rPr>
                <w:rFonts w:cstheme="minorHAnsi"/>
                <w:sz w:val="18"/>
                <w:szCs w:val="18"/>
              </w:rPr>
              <w:t xml:space="preserve">: </w:t>
            </w:r>
            <w:r w:rsidR="0094272B" w:rsidRPr="0094272B">
              <w:rPr>
                <w:rFonts w:cstheme="minorHAnsi"/>
                <w:sz w:val="18"/>
                <w:szCs w:val="18"/>
              </w:rPr>
              <w:t xml:space="preserve">926 940,30 </w:t>
            </w:r>
            <w:r w:rsidR="005A6AB8">
              <w:rPr>
                <w:rFonts w:cstheme="minorHAnsi"/>
                <w:sz w:val="18"/>
                <w:szCs w:val="18"/>
              </w:rPr>
              <w:t>PLN:</w:t>
            </w:r>
          </w:p>
          <w:p w14:paraId="3CEA0CA0" w14:textId="77777777" w:rsidR="005A6AB8" w:rsidRPr="008170CD" w:rsidRDefault="005A6AB8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83952D6" w14:textId="7B7B2C4B" w:rsidR="004F1D0C" w:rsidRDefault="004F1D0C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1: 134 545,69 </w:t>
            </w:r>
            <w:r w:rsidR="002A4D3C">
              <w:rPr>
                <w:rFonts w:cstheme="minorHAnsi"/>
                <w:sz w:val="18"/>
                <w:szCs w:val="18"/>
              </w:rPr>
              <w:t xml:space="preserve">PLN </w:t>
            </w:r>
          </w:p>
          <w:p w14:paraId="40154604" w14:textId="0DAEE75B" w:rsidR="002A4D3C" w:rsidRDefault="002A4D3C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2: 245 508,00 PLN </w:t>
            </w:r>
          </w:p>
          <w:p w14:paraId="174054D2" w14:textId="2EFBF047" w:rsidR="002A4D3C" w:rsidRDefault="002A4D3C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3: </w:t>
            </w:r>
            <w:r w:rsidR="00185162">
              <w:rPr>
                <w:rFonts w:cstheme="minorHAnsi"/>
                <w:sz w:val="18"/>
                <w:szCs w:val="18"/>
              </w:rPr>
              <w:t>505 824,88 PLN</w:t>
            </w:r>
          </w:p>
          <w:p w14:paraId="61E7C0C8" w14:textId="59F99A2E" w:rsidR="00185162" w:rsidRDefault="00185162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5: 15 762,05 PLN </w:t>
            </w:r>
          </w:p>
          <w:p w14:paraId="326454EE" w14:textId="38E24D0C" w:rsidR="00185162" w:rsidRDefault="00DB755D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7: 11 393,58 PLN </w:t>
            </w:r>
          </w:p>
          <w:p w14:paraId="4CABEC86" w14:textId="48E8E4A0" w:rsidR="00DB755D" w:rsidRDefault="00411EB5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Koszty pośrednie</w:t>
            </w:r>
            <w:r w:rsidR="00DB755D">
              <w:rPr>
                <w:rFonts w:cstheme="minorHAnsi"/>
                <w:sz w:val="18"/>
                <w:szCs w:val="18"/>
              </w:rPr>
              <w:t xml:space="preserve">: 13 906,10 PLN </w:t>
            </w:r>
          </w:p>
          <w:p w14:paraId="116A8FED" w14:textId="402043AD" w:rsidR="007972FA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23F321B" w14:textId="77777777" w:rsidR="00C855A0" w:rsidRDefault="009D1AD2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Zadanie 1</w:t>
            </w:r>
            <w:r w:rsidR="00C855A0">
              <w:rPr>
                <w:rFonts w:cstheme="minorHAnsi"/>
                <w:sz w:val="18"/>
                <w:szCs w:val="18"/>
              </w:rPr>
              <w:t>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2490E">
              <w:rPr>
                <w:rFonts w:cstheme="minorHAnsi"/>
                <w:sz w:val="18"/>
                <w:szCs w:val="18"/>
              </w:rPr>
              <w:t xml:space="preserve">W zakresie zakupu </w:t>
            </w:r>
            <w:r w:rsidR="00471B73">
              <w:rPr>
                <w:rFonts w:cstheme="minorHAnsi"/>
                <w:sz w:val="18"/>
                <w:szCs w:val="18"/>
              </w:rPr>
              <w:t>infrastruktury</w:t>
            </w:r>
            <w:r w:rsidR="0072490E">
              <w:rPr>
                <w:rFonts w:cstheme="minorHAnsi"/>
                <w:sz w:val="18"/>
                <w:szCs w:val="18"/>
              </w:rPr>
              <w:t xml:space="preserve"> </w:t>
            </w:r>
            <w:r w:rsidR="00471B73">
              <w:rPr>
                <w:rFonts w:cstheme="minorHAnsi"/>
                <w:sz w:val="18"/>
                <w:szCs w:val="18"/>
              </w:rPr>
              <w:t xml:space="preserve">teleinformatycznej Beneficjent dokonał samodzielnie zakupu licencji </w:t>
            </w:r>
            <w:proofErr w:type="spellStart"/>
            <w:r w:rsidR="00471B73">
              <w:rPr>
                <w:rFonts w:cstheme="minorHAnsi"/>
                <w:sz w:val="18"/>
                <w:szCs w:val="18"/>
              </w:rPr>
              <w:t>ActiveDirec</w:t>
            </w:r>
            <w:r w:rsidR="003718BA">
              <w:rPr>
                <w:rFonts w:cstheme="minorHAnsi"/>
                <w:sz w:val="18"/>
                <w:szCs w:val="18"/>
              </w:rPr>
              <w:t>t</w:t>
            </w:r>
            <w:r w:rsidR="00471B73">
              <w:rPr>
                <w:rFonts w:cstheme="minorHAnsi"/>
                <w:sz w:val="18"/>
                <w:szCs w:val="18"/>
              </w:rPr>
              <w:t>ory</w:t>
            </w:r>
            <w:proofErr w:type="spellEnd"/>
            <w:r w:rsidR="00774A5C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8CF71AA" w14:textId="2479954C" w:rsidR="006E7FEE" w:rsidRDefault="00C855A0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Zadanie</w:t>
            </w:r>
            <w:r w:rsidR="00774A5C">
              <w:rPr>
                <w:rFonts w:cstheme="minorHAnsi"/>
                <w:sz w:val="18"/>
                <w:szCs w:val="18"/>
              </w:rPr>
              <w:t xml:space="preserve"> 2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774A5C">
              <w:rPr>
                <w:rFonts w:cstheme="minorHAnsi"/>
                <w:sz w:val="18"/>
                <w:szCs w:val="18"/>
              </w:rPr>
              <w:t xml:space="preserve"> </w:t>
            </w:r>
            <w:r w:rsidR="006E7FEE">
              <w:rPr>
                <w:rFonts w:cstheme="minorHAnsi"/>
                <w:sz w:val="18"/>
                <w:szCs w:val="18"/>
              </w:rPr>
              <w:t xml:space="preserve">oszczędności </w:t>
            </w:r>
            <w:r w:rsidR="00774A5C">
              <w:rPr>
                <w:rFonts w:cstheme="minorHAnsi"/>
                <w:sz w:val="18"/>
                <w:szCs w:val="18"/>
              </w:rPr>
              <w:t xml:space="preserve">wynikały z </w:t>
            </w:r>
            <w:r w:rsidR="00CB7453">
              <w:rPr>
                <w:rFonts w:cstheme="minorHAnsi"/>
                <w:sz w:val="18"/>
                <w:szCs w:val="18"/>
              </w:rPr>
              <w:t xml:space="preserve">zawartego Aneksu z Wykonawcą Systemu, w którym </w:t>
            </w:r>
            <w:r w:rsidR="00C32409">
              <w:rPr>
                <w:rFonts w:cstheme="minorHAnsi"/>
                <w:sz w:val="18"/>
                <w:szCs w:val="18"/>
              </w:rPr>
              <w:t>Beneficjent</w:t>
            </w:r>
            <w:r w:rsidR="00CB7453">
              <w:rPr>
                <w:rFonts w:cstheme="minorHAnsi"/>
                <w:sz w:val="18"/>
                <w:szCs w:val="18"/>
              </w:rPr>
              <w:t xml:space="preserve"> </w:t>
            </w:r>
            <w:r w:rsidR="00C32409">
              <w:rPr>
                <w:rFonts w:cstheme="minorHAnsi"/>
                <w:sz w:val="18"/>
                <w:szCs w:val="18"/>
              </w:rPr>
              <w:t>zrezygnował</w:t>
            </w:r>
            <w:r w:rsidR="00CB7453">
              <w:rPr>
                <w:rFonts w:cstheme="minorHAnsi"/>
                <w:sz w:val="18"/>
                <w:szCs w:val="18"/>
              </w:rPr>
              <w:t xml:space="preserve"> z części raportów i licencji</w:t>
            </w:r>
            <w:r w:rsidR="00C927F3">
              <w:rPr>
                <w:rFonts w:cstheme="minorHAnsi"/>
                <w:sz w:val="18"/>
                <w:szCs w:val="18"/>
              </w:rPr>
              <w:t xml:space="preserve">. </w:t>
            </w:r>
            <w:r w:rsidR="00716D37">
              <w:rPr>
                <w:rFonts w:cstheme="minorHAnsi"/>
                <w:sz w:val="18"/>
                <w:szCs w:val="18"/>
              </w:rPr>
              <w:t xml:space="preserve">Licencje zostały zakupione w ramach umowy na zadanie 3 odnośnie hostingu infrastruktury. Wynikało to z potrzeby zakupu jednolitych usług w ramach infrastruktury chmurowej, na której również wygenerowano oszczędności z powodu przedłużającego się postępowania na chmurę docelową </w:t>
            </w:r>
            <w:proofErr w:type="spellStart"/>
            <w:r w:rsidR="00716D37">
              <w:rPr>
                <w:rFonts w:cstheme="minorHAnsi"/>
                <w:sz w:val="18"/>
                <w:szCs w:val="18"/>
              </w:rPr>
              <w:t>MSAzure</w:t>
            </w:r>
            <w:proofErr w:type="spellEnd"/>
            <w:r w:rsidR="00716D37">
              <w:rPr>
                <w:rFonts w:cstheme="minorHAnsi"/>
                <w:sz w:val="18"/>
                <w:szCs w:val="18"/>
              </w:rPr>
              <w:t xml:space="preserve">, które były niezależne od Beneficjenta m in. duża ilość zainteresowanych podmiotów i zadawanych pytań na etapie ogłoszenia.  </w:t>
            </w:r>
          </w:p>
          <w:p w14:paraId="5D8DEB49" w14:textId="73CFB055" w:rsidR="000D01AD" w:rsidRDefault="006E7FEE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3: </w:t>
            </w:r>
            <w:r w:rsidR="00C15BE2">
              <w:rPr>
                <w:rFonts w:cstheme="minorHAnsi"/>
                <w:sz w:val="18"/>
                <w:szCs w:val="18"/>
              </w:rPr>
              <w:t>Koszty miesięczne chmury tymczasowej były niższe niż koszty hosting</w:t>
            </w:r>
            <w:r w:rsidR="00F56954">
              <w:rPr>
                <w:rFonts w:cstheme="minorHAnsi"/>
                <w:sz w:val="18"/>
                <w:szCs w:val="18"/>
              </w:rPr>
              <w:t>u</w:t>
            </w:r>
            <w:r w:rsidR="00C15BE2">
              <w:rPr>
                <w:rFonts w:cstheme="minorHAnsi"/>
                <w:sz w:val="18"/>
                <w:szCs w:val="18"/>
              </w:rPr>
              <w:t xml:space="preserve"> chmury docelowej, ponieważ</w:t>
            </w:r>
            <w:r w:rsidR="00BC1190">
              <w:rPr>
                <w:rFonts w:cstheme="minorHAnsi"/>
                <w:sz w:val="18"/>
                <w:szCs w:val="18"/>
              </w:rPr>
              <w:t xml:space="preserve"> chmura tymczasowa miała ograniczoną liczbę usług oraz jej parametrów</w:t>
            </w:r>
            <w:r w:rsidR="00105AAB">
              <w:rPr>
                <w:rFonts w:cstheme="minorHAnsi"/>
                <w:sz w:val="18"/>
                <w:szCs w:val="18"/>
              </w:rPr>
              <w:t xml:space="preserve">, które były wystarczające na etapie budowy prototypów, ale już </w:t>
            </w:r>
            <w:r w:rsidR="0002257F">
              <w:rPr>
                <w:rFonts w:cstheme="minorHAnsi"/>
                <w:sz w:val="18"/>
                <w:szCs w:val="18"/>
              </w:rPr>
              <w:t>niewystarczające</w:t>
            </w:r>
            <w:r w:rsidR="00105AAB">
              <w:rPr>
                <w:rFonts w:cstheme="minorHAnsi"/>
                <w:sz w:val="18"/>
                <w:szCs w:val="18"/>
              </w:rPr>
              <w:t xml:space="preserve"> do postawienia docelowego Systemu.</w:t>
            </w:r>
          </w:p>
          <w:p w14:paraId="602AD3E3" w14:textId="0AA79254" w:rsidR="00E675FD" w:rsidRDefault="00BF349F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Zadanie 4</w:t>
            </w:r>
            <w:r w:rsidR="00105AAB">
              <w:rPr>
                <w:rFonts w:cstheme="minorHAnsi"/>
                <w:sz w:val="18"/>
                <w:szCs w:val="18"/>
              </w:rPr>
              <w:t xml:space="preserve">: </w:t>
            </w:r>
            <w:r w:rsidR="00166EBF">
              <w:rPr>
                <w:rFonts w:cstheme="minorHAnsi"/>
                <w:sz w:val="18"/>
                <w:szCs w:val="18"/>
              </w:rPr>
              <w:t xml:space="preserve">W wyniku postępowania </w:t>
            </w:r>
            <w:r w:rsidR="00F954ED">
              <w:rPr>
                <w:rFonts w:cstheme="minorHAnsi"/>
                <w:sz w:val="18"/>
                <w:szCs w:val="18"/>
              </w:rPr>
              <w:t xml:space="preserve">na </w:t>
            </w:r>
            <w:r w:rsidR="00166EBF">
              <w:rPr>
                <w:rFonts w:cstheme="minorHAnsi"/>
                <w:sz w:val="18"/>
                <w:szCs w:val="18"/>
              </w:rPr>
              <w:t>usługi</w:t>
            </w:r>
            <w:r w:rsidR="00F954ED">
              <w:rPr>
                <w:rFonts w:cstheme="minorHAnsi"/>
                <w:sz w:val="18"/>
                <w:szCs w:val="18"/>
              </w:rPr>
              <w:t xml:space="preserve"> Inżyniera Kontraktu </w:t>
            </w:r>
            <w:r w:rsidR="004C51D4">
              <w:rPr>
                <w:rFonts w:cstheme="minorHAnsi"/>
                <w:sz w:val="18"/>
                <w:szCs w:val="18"/>
              </w:rPr>
              <w:t xml:space="preserve">dokonano wyboru </w:t>
            </w:r>
            <w:r w:rsidR="00A85666">
              <w:rPr>
                <w:rFonts w:cstheme="minorHAnsi"/>
                <w:sz w:val="18"/>
                <w:szCs w:val="18"/>
              </w:rPr>
              <w:t xml:space="preserve">najkorzystniejszej </w:t>
            </w:r>
            <w:r w:rsidR="004C51D4">
              <w:rPr>
                <w:rFonts w:cstheme="minorHAnsi"/>
                <w:sz w:val="18"/>
                <w:szCs w:val="18"/>
              </w:rPr>
              <w:t>oferty</w:t>
            </w:r>
            <w:r w:rsidR="00A85666">
              <w:rPr>
                <w:rFonts w:cstheme="minorHAnsi"/>
                <w:sz w:val="18"/>
                <w:szCs w:val="18"/>
              </w:rPr>
              <w:t xml:space="preserve">, która była poniżej </w:t>
            </w:r>
            <w:r w:rsidR="0042503A">
              <w:rPr>
                <w:rFonts w:cstheme="minorHAnsi"/>
                <w:sz w:val="18"/>
                <w:szCs w:val="18"/>
              </w:rPr>
              <w:t>planowanego budżetu po modyfikacji</w:t>
            </w:r>
            <w:r w:rsidR="005479C4">
              <w:rPr>
                <w:rFonts w:cstheme="minorHAnsi"/>
                <w:sz w:val="18"/>
                <w:szCs w:val="18"/>
              </w:rPr>
              <w:t xml:space="preserve"> (Aneks nr 4 do Porozumienia z CPPC)</w:t>
            </w:r>
            <w:r w:rsidR="0044731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69EA5D" w14:textId="5CCC24BF" w:rsidR="001F1122" w:rsidRDefault="005262AD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Oszczędności</w:t>
            </w:r>
            <w:r w:rsidR="000D01AD">
              <w:rPr>
                <w:rFonts w:cstheme="minorHAnsi"/>
                <w:sz w:val="18"/>
                <w:szCs w:val="18"/>
              </w:rPr>
              <w:t xml:space="preserve"> z tytułu wynagrodzeń i kosztów pośrednich wynikały </w:t>
            </w:r>
            <w:r w:rsidR="002163E0">
              <w:rPr>
                <w:rFonts w:cstheme="minorHAnsi"/>
                <w:sz w:val="18"/>
                <w:szCs w:val="18"/>
              </w:rPr>
              <w:t>m in. z braku zaangażowania 1 eta</w:t>
            </w:r>
            <w:r w:rsidR="001F1122">
              <w:rPr>
                <w:rFonts w:cstheme="minorHAnsi"/>
                <w:sz w:val="18"/>
                <w:szCs w:val="18"/>
              </w:rPr>
              <w:t>tu (asystenta), które zostały przejęte przez Kierownika projektu i Kierownika biura projektu</w:t>
            </w:r>
            <w:r w:rsidR="00A75CB4">
              <w:rPr>
                <w:rFonts w:cstheme="minorHAnsi"/>
                <w:sz w:val="18"/>
                <w:szCs w:val="18"/>
              </w:rPr>
              <w:t xml:space="preserve"> oraz absencji części pracowników. </w:t>
            </w:r>
          </w:p>
          <w:p w14:paraId="6F11BD0C" w14:textId="77777777" w:rsidR="00EC408D" w:rsidRPr="008170CD" w:rsidRDefault="00EC408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D7B3713" w14:textId="2D4CF3D4" w:rsidR="00FD0B0F" w:rsidRPr="005935F9" w:rsidRDefault="00FD0B0F" w:rsidP="00BC120E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5935F9">
              <w:rPr>
                <w:rFonts w:cstheme="minorHAnsi"/>
                <w:b/>
                <w:bCs/>
                <w:sz w:val="18"/>
                <w:szCs w:val="18"/>
              </w:rPr>
              <w:t>W trakcie projektu</w:t>
            </w:r>
            <w:r w:rsidR="00EC4EC4" w:rsidRPr="005935F9">
              <w:rPr>
                <w:rFonts w:cstheme="minorHAnsi"/>
                <w:b/>
                <w:bCs/>
                <w:sz w:val="18"/>
                <w:szCs w:val="18"/>
              </w:rPr>
              <w:t xml:space="preserve"> wielokrotnie przeprowadzano kontrole oraz audyty. Żaden nie wykazał uchybień, nie skutkował </w:t>
            </w:r>
            <w:r w:rsidR="00C72217">
              <w:rPr>
                <w:rFonts w:cstheme="minorHAnsi"/>
                <w:b/>
                <w:bCs/>
                <w:sz w:val="18"/>
                <w:szCs w:val="18"/>
              </w:rPr>
              <w:t xml:space="preserve">również </w:t>
            </w:r>
            <w:r w:rsidR="00EC4EC4" w:rsidRPr="005935F9">
              <w:rPr>
                <w:rFonts w:cstheme="minorHAnsi"/>
                <w:b/>
                <w:bCs/>
                <w:sz w:val="18"/>
                <w:szCs w:val="18"/>
              </w:rPr>
              <w:t>wydatkami niekwalifikowanymi ani nieprawidłowościami.</w:t>
            </w:r>
          </w:p>
          <w:p w14:paraId="3D62134E" w14:textId="67133588" w:rsidR="003B1BF7" w:rsidRPr="008170CD" w:rsidRDefault="003B1BF7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</w:tc>
      </w:tr>
      <w:tr w:rsidR="007A0A3D" w:rsidRPr="002450C4" w14:paraId="68C32BCD" w14:textId="77777777" w:rsidTr="006A60C6">
        <w:tc>
          <w:tcPr>
            <w:tcW w:w="437" w:type="dxa"/>
          </w:tcPr>
          <w:p w14:paraId="2B576C1F" w14:textId="7DFBD449" w:rsidR="007A0A3D" w:rsidRDefault="00715D46" w:rsidP="00DF2AC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5.</w:t>
            </w:r>
          </w:p>
          <w:p w14:paraId="60506832" w14:textId="0F9A6E16" w:rsidR="00DF2AC9" w:rsidRPr="00DF2AC9" w:rsidRDefault="00DF2AC9" w:rsidP="00DF2AC9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00932DC4" w14:textId="728D4B6D" w:rsidR="00DF2AC9" w:rsidRDefault="00DF2AC9">
            <w:pPr>
              <w:rPr>
                <w:sz w:val="18"/>
                <w:szCs w:val="20"/>
              </w:rPr>
            </w:pPr>
          </w:p>
          <w:p w14:paraId="7CC472C5" w14:textId="02A149A7" w:rsidR="00862155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5A8A691E" w14:textId="77777777" w:rsidR="00257E20" w:rsidRDefault="00257E20" w:rsidP="00257E20">
            <w:pPr>
              <w:pStyle w:val="Other0"/>
              <w:rPr>
                <w:rFonts w:cstheme="minorHAnsi"/>
                <w:sz w:val="20"/>
                <w:szCs w:val="20"/>
              </w:rPr>
            </w:pPr>
          </w:p>
          <w:p w14:paraId="0E5ECCED" w14:textId="77777777" w:rsidR="00E33A85" w:rsidRPr="00B16377" w:rsidRDefault="00E33A85" w:rsidP="00B16377">
            <w:pPr>
              <w:pStyle w:val="Other0"/>
              <w:rPr>
                <w:bCs/>
                <w:color w:val="000000"/>
                <w:highlight w:val="yellow"/>
              </w:rPr>
            </w:pPr>
          </w:p>
          <w:p w14:paraId="07BA3AAE" w14:textId="2C345DBA" w:rsidR="007A0A3D" w:rsidRPr="002450C4" w:rsidRDefault="007A0A3D">
            <w:pPr>
              <w:rPr>
                <w:sz w:val="18"/>
                <w:szCs w:val="20"/>
              </w:rPr>
            </w:pPr>
          </w:p>
        </w:tc>
        <w:tc>
          <w:tcPr>
            <w:tcW w:w="8371" w:type="dxa"/>
          </w:tcPr>
          <w:p w14:paraId="425CF149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6795A54" w14:textId="752083BC" w:rsidR="00A8555A" w:rsidRPr="00A8555A" w:rsidRDefault="00A8555A" w:rsidP="00A8555A">
            <w:pPr>
              <w:pStyle w:val="Other0"/>
              <w:rPr>
                <w:rFonts w:cstheme="minorBidi"/>
              </w:rPr>
            </w:pPr>
            <w:r w:rsidRPr="1FDEBB9B">
              <w:rPr>
                <w:rFonts w:cstheme="minorBidi"/>
              </w:rPr>
              <w:t>Pierwotna</w:t>
            </w:r>
            <w:r w:rsidRPr="1FDEBB9B">
              <w:rPr>
                <w:rFonts w:asciiTheme="minorHAnsi" w:hAnsiTheme="minorHAnsi" w:cstheme="minorBidi"/>
              </w:rPr>
              <w:t xml:space="preserve"> planowana data rozpoczęcia realizacji projektu: </w:t>
            </w:r>
            <w:r w:rsidR="0085020B" w:rsidRPr="1FDEBB9B">
              <w:rPr>
                <w:rFonts w:asciiTheme="minorHAnsi" w:hAnsiTheme="minorHAnsi" w:cstheme="minorBidi"/>
              </w:rPr>
              <w:t>01.04.2020</w:t>
            </w:r>
            <w:r w:rsidRPr="1FDEBB9B">
              <w:rPr>
                <w:rFonts w:asciiTheme="minorHAnsi" w:hAnsiTheme="minorHAnsi" w:cstheme="minorBidi"/>
              </w:rPr>
              <w:t xml:space="preserve"> r.</w:t>
            </w:r>
          </w:p>
          <w:p w14:paraId="00EB5CF2" w14:textId="3618CB0D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A8555A">
              <w:rPr>
                <w:rFonts w:cstheme="minorHAnsi"/>
              </w:rPr>
              <w:t xml:space="preserve">Ostatnia planowana data rozpoczęcia realizacji projektu: </w:t>
            </w:r>
            <w:r w:rsidR="00C43044">
              <w:rPr>
                <w:rFonts w:cstheme="minorHAnsi"/>
              </w:rPr>
              <w:t>01.04.2020</w:t>
            </w:r>
            <w:r w:rsidRPr="00A8555A">
              <w:rPr>
                <w:rFonts w:cstheme="minorHAnsi"/>
              </w:rPr>
              <w:t xml:space="preserve"> r.</w:t>
            </w:r>
          </w:p>
          <w:p w14:paraId="72CFFDFB" w14:textId="56D99747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DA4FF8">
              <w:rPr>
                <w:rFonts w:cstheme="minorHAnsi"/>
                <w:b/>
              </w:rPr>
              <w:t>Faktyczna data rozpoczęcia realizacji projektu</w:t>
            </w:r>
            <w:r w:rsidRPr="00A8555A">
              <w:rPr>
                <w:rFonts w:cstheme="minorHAnsi"/>
              </w:rPr>
              <w:t xml:space="preserve">: </w:t>
            </w:r>
            <w:r w:rsidR="00C43044">
              <w:rPr>
                <w:rFonts w:cstheme="minorHAnsi"/>
              </w:rPr>
              <w:t>01.04.2020</w:t>
            </w:r>
            <w:r w:rsidRPr="00A8555A">
              <w:rPr>
                <w:rFonts w:cstheme="minorHAnsi"/>
              </w:rPr>
              <w:t xml:space="preserve"> r.</w:t>
            </w:r>
          </w:p>
          <w:p w14:paraId="0A083B2A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95D367E" w14:textId="63709CC9" w:rsidR="00A8555A" w:rsidRDefault="00A8555A" w:rsidP="00A8555A">
            <w:pPr>
              <w:jc w:val="both"/>
              <w:rPr>
                <w:sz w:val="18"/>
                <w:szCs w:val="18"/>
              </w:rPr>
            </w:pPr>
            <w:r w:rsidRPr="19A4FB9C">
              <w:rPr>
                <w:sz w:val="18"/>
                <w:szCs w:val="18"/>
              </w:rPr>
              <w:t xml:space="preserve">Pierwotna planowana data zakończenia realizacji projektu: </w:t>
            </w:r>
            <w:r w:rsidR="00F37EA8">
              <w:rPr>
                <w:sz w:val="18"/>
                <w:szCs w:val="18"/>
              </w:rPr>
              <w:t>29</w:t>
            </w:r>
            <w:r w:rsidRPr="19A4FB9C">
              <w:rPr>
                <w:sz w:val="18"/>
                <w:szCs w:val="18"/>
              </w:rPr>
              <w:t>.06.202</w:t>
            </w:r>
            <w:r w:rsidR="00026586" w:rsidRPr="19A4FB9C">
              <w:rPr>
                <w:sz w:val="18"/>
                <w:szCs w:val="18"/>
              </w:rPr>
              <w:t>3</w:t>
            </w:r>
            <w:r w:rsidRPr="19A4FB9C">
              <w:rPr>
                <w:sz w:val="18"/>
                <w:szCs w:val="18"/>
              </w:rPr>
              <w:t xml:space="preserve"> r.</w:t>
            </w:r>
          </w:p>
          <w:p w14:paraId="70F28553" w14:textId="2A0C2DB3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Ostatnia planowana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31.</w:t>
            </w:r>
            <w:r w:rsidR="00735FD4">
              <w:rPr>
                <w:rFonts w:cstheme="minorHAnsi"/>
                <w:sz w:val="18"/>
                <w:szCs w:val="18"/>
              </w:rPr>
              <w:t>12.</w:t>
            </w:r>
            <w:r w:rsidRPr="00A8555A">
              <w:rPr>
                <w:rFonts w:cstheme="minorHAnsi"/>
                <w:sz w:val="18"/>
                <w:szCs w:val="18"/>
              </w:rPr>
              <w:t>202</w:t>
            </w:r>
            <w:r w:rsidR="00735FD4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28D95C3" w14:textId="595E5797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DA4FF8">
              <w:rPr>
                <w:rFonts w:cstheme="minorHAnsi"/>
                <w:b/>
                <w:sz w:val="18"/>
                <w:szCs w:val="18"/>
              </w:rPr>
              <w:t>Faktyczna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31.</w:t>
            </w:r>
            <w:r w:rsidR="00735FD4">
              <w:rPr>
                <w:rFonts w:cstheme="minorHAnsi"/>
                <w:sz w:val="18"/>
                <w:szCs w:val="18"/>
              </w:rPr>
              <w:t>12</w:t>
            </w:r>
            <w:r w:rsidRPr="00A8555A">
              <w:rPr>
                <w:rFonts w:cstheme="minorHAnsi"/>
                <w:sz w:val="18"/>
                <w:szCs w:val="18"/>
              </w:rPr>
              <w:t>.202</w:t>
            </w:r>
            <w:r w:rsidR="00735FD4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4DBAAD5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3F72D9" w14:textId="6BB0B4B4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Przyczyną zmiany terminu zakończenia realizacji projektu w stosunku do pierwotnego planu był</w:t>
            </w:r>
            <w:r w:rsidR="00F90636">
              <w:rPr>
                <w:rFonts w:cstheme="minorHAnsi"/>
                <w:sz w:val="18"/>
                <w:szCs w:val="18"/>
              </w:rPr>
              <w:t xml:space="preserve"> przedłużający się proces wybory </w:t>
            </w:r>
            <w:r w:rsidR="00EC4AE0">
              <w:rPr>
                <w:rFonts w:cstheme="minorHAnsi"/>
                <w:sz w:val="18"/>
                <w:szCs w:val="18"/>
              </w:rPr>
              <w:t>Wykonawcy</w:t>
            </w:r>
            <w:r w:rsidR="00F90636">
              <w:rPr>
                <w:rFonts w:cstheme="minorHAnsi"/>
                <w:sz w:val="18"/>
                <w:szCs w:val="18"/>
              </w:rPr>
              <w:t xml:space="preserve"> </w:t>
            </w:r>
            <w:r w:rsidR="00EC4AE0">
              <w:rPr>
                <w:rFonts w:cstheme="minorHAnsi"/>
                <w:sz w:val="18"/>
                <w:szCs w:val="18"/>
              </w:rPr>
              <w:t>Systemu</w:t>
            </w:r>
            <w:r w:rsidR="00F90636">
              <w:rPr>
                <w:rFonts w:cstheme="minorHAnsi"/>
                <w:sz w:val="18"/>
                <w:szCs w:val="18"/>
              </w:rPr>
              <w:t xml:space="preserve">, w związku z przekroczeniem </w:t>
            </w:r>
            <w:r w:rsidR="00EC4AE0">
              <w:rPr>
                <w:rFonts w:cstheme="minorHAnsi"/>
                <w:sz w:val="18"/>
                <w:szCs w:val="18"/>
              </w:rPr>
              <w:t>pierwotnie</w:t>
            </w:r>
            <w:r w:rsidR="00F90636">
              <w:rPr>
                <w:rFonts w:cstheme="minorHAnsi"/>
                <w:sz w:val="18"/>
                <w:szCs w:val="18"/>
              </w:rPr>
              <w:t xml:space="preserve"> planowanego budżetu w stosunku do złożonych ofert </w:t>
            </w:r>
            <w:r w:rsidR="003643D1">
              <w:rPr>
                <w:rFonts w:cstheme="minorHAnsi"/>
                <w:sz w:val="18"/>
                <w:szCs w:val="18"/>
              </w:rPr>
              <w:t>i tym samym zw</w:t>
            </w:r>
            <w:r w:rsidR="006E26F7">
              <w:rPr>
                <w:rFonts w:cstheme="minorHAnsi"/>
                <w:sz w:val="18"/>
                <w:szCs w:val="18"/>
              </w:rPr>
              <w:t xml:space="preserve">rócenie się do Instytucji Pośredniczącej o zwiększenie kwoty dofinansowania projektu </w:t>
            </w:r>
            <w:r w:rsidR="00F90636">
              <w:rPr>
                <w:rFonts w:cstheme="minorHAnsi"/>
                <w:sz w:val="18"/>
                <w:szCs w:val="18"/>
              </w:rPr>
              <w:t>oraz</w:t>
            </w:r>
            <w:r w:rsidR="00EC4AE0">
              <w:rPr>
                <w:rFonts w:cstheme="minorHAnsi"/>
                <w:sz w:val="18"/>
                <w:szCs w:val="18"/>
              </w:rPr>
              <w:t xml:space="preserve"> koniecznością</w:t>
            </w:r>
            <w:r w:rsidR="006E26F7">
              <w:rPr>
                <w:rFonts w:cstheme="minorHAnsi"/>
                <w:sz w:val="18"/>
                <w:szCs w:val="18"/>
              </w:rPr>
              <w:t xml:space="preserve"> formalnego </w:t>
            </w:r>
            <w:r w:rsidR="00203255">
              <w:rPr>
                <w:rFonts w:cstheme="minorHAnsi"/>
                <w:sz w:val="18"/>
                <w:szCs w:val="18"/>
              </w:rPr>
              <w:t xml:space="preserve">zatwierdzenia ostatnich produktów od Wykonawcy Systemu. </w:t>
            </w:r>
            <w:r w:rsidR="00EC4AE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88EC971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8D2C44D" w14:textId="5A00E7FB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Wszystkie zadania w projekcie zostały zrealizowane zgodnie z planowanym zakresem.</w:t>
            </w:r>
          </w:p>
          <w:p w14:paraId="096B096B" w14:textId="77777777" w:rsidR="00DA4FF8" w:rsidRDefault="00DA4FF8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A54F56E" w14:textId="553C8C23" w:rsidR="00DA4FF8" w:rsidRPr="00DA4FF8" w:rsidRDefault="00DA4FF8" w:rsidP="00A8555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A4FF8">
              <w:rPr>
                <w:rFonts w:cstheme="minorHAnsi"/>
                <w:b/>
                <w:sz w:val="18"/>
                <w:szCs w:val="18"/>
              </w:rPr>
              <w:t>Status realizacji kamieni milowych w projekcie:</w:t>
            </w:r>
          </w:p>
          <w:p w14:paraId="5ADE7AE7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ela-Siatka"/>
              <w:tblpPr w:leftFromText="141" w:rightFromText="141" w:vertAnchor="text" w:horzAnchor="margin" w:tblpY="1"/>
              <w:tblOverlap w:val="never"/>
              <w:tblW w:w="8166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1227"/>
              <w:gridCol w:w="1199"/>
              <w:gridCol w:w="1198"/>
              <w:gridCol w:w="1110"/>
              <w:gridCol w:w="3432"/>
            </w:tblGrid>
            <w:tr w:rsidR="00ED6985" w:rsidRPr="00125CE4" w14:paraId="3B22D109" w14:textId="77777777" w:rsidTr="006A60C6">
              <w:trPr>
                <w:trHeight w:val="547"/>
                <w:tblHeader/>
              </w:trPr>
              <w:tc>
                <w:tcPr>
                  <w:tcW w:w="1227" w:type="dxa"/>
                  <w:shd w:val="clear" w:color="auto" w:fill="D0CECE" w:themeFill="background2" w:themeFillShade="E6"/>
                  <w:vAlign w:val="center"/>
                </w:tcPr>
                <w:p w14:paraId="4A634668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D90D826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t xml:space="preserve">Powiązane wskaźniki </w:t>
                  </w: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br/>
                    <w:t xml:space="preserve">projektu </w:t>
                  </w:r>
                  <w:r w:rsidRPr="00125CE4">
                    <w:rPr>
                      <w:rStyle w:val="Odwoanieprzypisudolnego"/>
                      <w:rFonts w:cstheme="minorHAnsi"/>
                      <w:b/>
                      <w:sz w:val="18"/>
                      <w:szCs w:val="18"/>
                    </w:rPr>
                    <w:footnoteReference w:id="2"/>
                  </w:r>
                </w:p>
              </w:tc>
              <w:tc>
                <w:tcPr>
                  <w:tcW w:w="1200" w:type="dxa"/>
                  <w:shd w:val="clear" w:color="auto" w:fill="D0CECE" w:themeFill="background2" w:themeFillShade="E6"/>
                  <w:vAlign w:val="center"/>
                </w:tcPr>
                <w:p w14:paraId="18C117E1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t xml:space="preserve">Planowany termin </w:t>
                  </w: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br/>
                    <w:t>osiągnięcia</w:t>
                  </w:r>
                </w:p>
              </w:tc>
              <w:tc>
                <w:tcPr>
                  <w:tcW w:w="1081" w:type="dxa"/>
                  <w:shd w:val="clear" w:color="auto" w:fill="D0CECE" w:themeFill="background2" w:themeFillShade="E6"/>
                  <w:vAlign w:val="center"/>
                </w:tcPr>
                <w:p w14:paraId="42BDBFB2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t xml:space="preserve">Rzeczywisty termin </w:t>
                  </w: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br/>
                    <w:t>osiągnięcia</w:t>
                  </w:r>
                </w:p>
              </w:tc>
              <w:tc>
                <w:tcPr>
                  <w:tcW w:w="3457" w:type="dxa"/>
                  <w:shd w:val="clear" w:color="auto" w:fill="D0CECE" w:themeFill="background2" w:themeFillShade="E6"/>
                  <w:vAlign w:val="center"/>
                </w:tcPr>
                <w:p w14:paraId="046FE8E8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t>Status realizacji</w:t>
                  </w:r>
                </w:p>
                <w:p w14:paraId="5446CC92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25CE4">
                    <w:rPr>
                      <w:rFonts w:cstheme="minorHAnsi"/>
                      <w:b/>
                      <w:sz w:val="18"/>
                      <w:szCs w:val="18"/>
                    </w:rPr>
                    <w:t xml:space="preserve"> kamienia milowego</w:t>
                  </w:r>
                </w:p>
              </w:tc>
            </w:tr>
            <w:tr w:rsidR="00BD23C0" w:rsidRPr="00125CE4" w14:paraId="36F83E20" w14:textId="77777777" w:rsidTr="006A60C6">
              <w:trPr>
                <w:trHeight w:val="8854"/>
              </w:trPr>
              <w:tc>
                <w:tcPr>
                  <w:tcW w:w="1227" w:type="dxa"/>
                  <w:vAlign w:val="center"/>
                </w:tcPr>
                <w:p w14:paraId="41BA117F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 xml:space="preserve">Wybór Doradcy </w:t>
                  </w: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br/>
                    <w:t>Technicznego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3E1D11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5BEDC62D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11-2020</w:t>
                  </w:r>
                </w:p>
              </w:tc>
              <w:tc>
                <w:tcPr>
                  <w:tcW w:w="1081" w:type="dxa"/>
                  <w:vAlign w:val="center"/>
                </w:tcPr>
                <w:p w14:paraId="4BD8A49B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06-2021</w:t>
                  </w:r>
                </w:p>
              </w:tc>
              <w:tc>
                <w:tcPr>
                  <w:tcW w:w="3457" w:type="dxa"/>
                  <w:vAlign w:val="center"/>
                </w:tcPr>
                <w:p w14:paraId="512FBC9A" w14:textId="77777777" w:rsidR="00ED6985" w:rsidRPr="00DC19B1" w:rsidRDefault="00ED6985" w:rsidP="00DC19B1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DC19B1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Osiągnięty</w:t>
                  </w:r>
                </w:p>
                <w:p w14:paraId="2F63482C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31.12.2020 r. ogłoszono przetarg na </w:t>
                  </w:r>
                  <w:r w:rsidRPr="00125CE4">
                    <w:rPr>
                      <w:rFonts w:cstheme="minorHAnsi"/>
                      <w:i/>
                      <w:iCs/>
                      <w:sz w:val="14"/>
                      <w:szCs w:val="14"/>
                    </w:rPr>
                    <w:t>„Wybór Doradcy technicznego przy realizacji projektu „System informatyczny służący stworzeniu środowiska cyfrowego dla realizacji usług publicznych i zadań Głównego Urzędu Miar w sprawach tachografów – TRANS-TACHO”</w:t>
                  </w: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 o numerze BDG-WZP.262.6.2020. Termin składania ofert upłynął w dniu 12 lutego 2021 r. o godzinie 12:00 (wpłynęły trzy oferty). </w:t>
                  </w:r>
                </w:p>
                <w:p w14:paraId="0ED48CDD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      </w:r>
                </w:p>
                <w:p w14:paraId="0B2CBBB3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W ramach powyższego postępowania Zamawiający odrzucił oferty z uwagi na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      </w:r>
                </w:p>
                <w:p w14:paraId="4E298B75" w14:textId="77777777" w:rsidR="00ED6985" w:rsidRPr="00125CE4" w:rsidRDefault="00ED6985" w:rsidP="00ED6985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W odpowiedzi na pismo w ramach zamówienia zostało złożone odwołanie do Krajowej Izby Odwoławczej, która to  uwzględniła stanowisko prezentowane przez Główny Urząd Miar (Zamawiającego) i oddaliła odwołanie w całości.</w:t>
                  </w:r>
                </w:p>
                <w:p w14:paraId="2AD7E1A5" w14:textId="4B7AB6D2" w:rsidR="00ED6985" w:rsidRPr="00125CE4" w:rsidRDefault="00ED6985" w:rsidP="00ED6985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Sytuacja związana z opóźnieniem realizacji Kamienia Milowego nr 1 i w konsekwencji Kamienia Milowego nr 2 wynikała z 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      </w:r>
                </w:p>
              </w:tc>
            </w:tr>
            <w:tr w:rsidR="00BD23C0" w:rsidRPr="00125CE4" w14:paraId="6C6E8551" w14:textId="77777777" w:rsidTr="00DC19B1">
              <w:trPr>
                <w:trHeight w:val="1408"/>
              </w:trPr>
              <w:tc>
                <w:tcPr>
                  <w:tcW w:w="1227" w:type="dxa"/>
                  <w:vAlign w:val="center"/>
                </w:tcPr>
                <w:p w14:paraId="6C741A87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 xml:space="preserve">Odbiór koncepcji systemu TRANS-TACHO </w:t>
                  </w: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br/>
                    <w:t>i przygotowanie SIWZ dla wykonawcy oprogramowania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2AA321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27C10D05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01-2021</w:t>
                  </w:r>
                </w:p>
              </w:tc>
              <w:tc>
                <w:tcPr>
                  <w:tcW w:w="1081" w:type="dxa"/>
                  <w:vAlign w:val="center"/>
                </w:tcPr>
                <w:p w14:paraId="341D3F1A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11-2021</w:t>
                  </w:r>
                </w:p>
              </w:tc>
              <w:tc>
                <w:tcPr>
                  <w:tcW w:w="3457" w:type="dxa"/>
                  <w:vAlign w:val="center"/>
                </w:tcPr>
                <w:p w14:paraId="3DDD596E" w14:textId="77777777" w:rsidR="00ED6985" w:rsidRPr="00DC19B1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DC19B1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Osiągnięty</w:t>
                  </w:r>
                </w:p>
                <w:p w14:paraId="610A8A75" w14:textId="032092EF" w:rsidR="009F414C" w:rsidRPr="00DC19B1" w:rsidRDefault="009F414C" w:rsidP="00DC19B1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DC19B1">
                    <w:rPr>
                      <w:rFonts w:cstheme="minorHAnsi"/>
                      <w:sz w:val="14"/>
                      <w:szCs w:val="14"/>
                    </w:rPr>
                    <w:t>Op</w:t>
                  </w:r>
                  <w:r w:rsidR="00DC19B1" w:rsidRPr="00DC19B1">
                    <w:rPr>
                      <w:rFonts w:cstheme="minorHAnsi"/>
                      <w:sz w:val="14"/>
                      <w:szCs w:val="14"/>
                    </w:rPr>
                    <w:t xml:space="preserve">óźnienie wynikało z opóźnienia pierwszego kamienia milowego. </w:t>
                  </w:r>
                </w:p>
              </w:tc>
            </w:tr>
            <w:tr w:rsidR="00BD23C0" w:rsidRPr="00125CE4" w14:paraId="65AA42BF" w14:textId="77777777" w:rsidTr="006A60C6">
              <w:trPr>
                <w:trHeight w:val="1094"/>
              </w:trPr>
              <w:tc>
                <w:tcPr>
                  <w:tcW w:w="1227" w:type="dxa"/>
                  <w:vAlign w:val="center"/>
                </w:tcPr>
                <w:p w14:paraId="66FD53F5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lastRenderedPageBreak/>
                    <w:t>Wybór Wykonawcy Systemu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8ACEA0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2B2583D4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07-2021</w:t>
                  </w:r>
                </w:p>
              </w:tc>
              <w:tc>
                <w:tcPr>
                  <w:tcW w:w="1081" w:type="dxa"/>
                  <w:vAlign w:val="center"/>
                </w:tcPr>
                <w:p w14:paraId="593F1C3A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05-2022</w:t>
                  </w:r>
                </w:p>
              </w:tc>
              <w:tc>
                <w:tcPr>
                  <w:tcW w:w="3457" w:type="dxa"/>
                  <w:vAlign w:val="center"/>
                </w:tcPr>
                <w:p w14:paraId="652AD075" w14:textId="77777777" w:rsidR="00ED6985" w:rsidRPr="00DC19B1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DC19B1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Osiągnięty </w:t>
                  </w:r>
                </w:p>
                <w:p w14:paraId="368C0E38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4"/>
                      <w:szCs w:val="14"/>
                    </w:rPr>
                  </w:pPr>
                </w:p>
                <w:p w14:paraId="360A3B88" w14:textId="77777777" w:rsidR="00ED6985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W dniu 24.05.2022 r. opublikowano informację o wyborze najkorzystniejszej oferty i wyborze Wykonawcy Systemu. </w:t>
                  </w:r>
                </w:p>
                <w:p w14:paraId="3E3FBAB0" w14:textId="58F13CEC" w:rsidR="00E01EA0" w:rsidRPr="00125CE4" w:rsidRDefault="00E01EA0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>
                    <w:rPr>
                      <w:rFonts w:cstheme="minorHAnsi"/>
                      <w:sz w:val="14"/>
                      <w:szCs w:val="14"/>
                    </w:rPr>
                    <w:t xml:space="preserve">Opóźnienie w osiągnięciu </w:t>
                  </w:r>
                  <w:r w:rsidR="005E4FDC">
                    <w:rPr>
                      <w:rFonts w:cstheme="minorHAnsi"/>
                      <w:sz w:val="14"/>
                      <w:szCs w:val="14"/>
                    </w:rPr>
                    <w:t xml:space="preserve">Kamienia milowego spowodowane było </w:t>
                  </w:r>
                  <w:r w:rsidR="00D05BE3">
                    <w:rPr>
                      <w:rFonts w:cstheme="minorHAnsi"/>
                      <w:sz w:val="14"/>
                      <w:szCs w:val="14"/>
                    </w:rPr>
                    <w:t xml:space="preserve">m in. </w:t>
                  </w:r>
                  <w:r w:rsidR="00922CA0">
                    <w:rPr>
                      <w:rFonts w:cstheme="minorHAnsi"/>
                      <w:sz w:val="14"/>
                      <w:szCs w:val="14"/>
                    </w:rPr>
                    <w:t xml:space="preserve">opóźnieniem osiągnięcia pierwszego Kamienia milowego oraz przekroczenie </w:t>
                  </w:r>
                  <w:r w:rsidR="006F62CF">
                    <w:rPr>
                      <w:rFonts w:cstheme="minorHAnsi"/>
                      <w:sz w:val="14"/>
                      <w:szCs w:val="14"/>
                    </w:rPr>
                    <w:t>pierwotnego budżetu projektu, wynikające z złożonych ofert.</w:t>
                  </w:r>
                </w:p>
                <w:p w14:paraId="419AAB4B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</w:tr>
            <w:tr w:rsidR="00BD23C0" w:rsidRPr="00125CE4" w14:paraId="3736803F" w14:textId="77777777" w:rsidTr="009F414C">
              <w:trPr>
                <w:trHeight w:val="3990"/>
              </w:trPr>
              <w:tc>
                <w:tcPr>
                  <w:tcW w:w="1227" w:type="dxa"/>
                  <w:vAlign w:val="center"/>
                </w:tcPr>
                <w:p w14:paraId="4FCF85CF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Wybór dostawcy PAAS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4D29AB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14:paraId="16446C4D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01-2023</w:t>
                  </w:r>
                </w:p>
              </w:tc>
              <w:tc>
                <w:tcPr>
                  <w:tcW w:w="1081" w:type="dxa"/>
                  <w:vAlign w:val="center"/>
                </w:tcPr>
                <w:p w14:paraId="59FB7E05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12-2022 </w:t>
                  </w:r>
                </w:p>
                <w:p w14:paraId="201E5A90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(ostateczny termin osiągnięcia KM nastąpi w dniu wyboru Dostawcy chmury docelowej)</w:t>
                  </w:r>
                </w:p>
                <w:p w14:paraId="47850A7F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</w:p>
                <w:p w14:paraId="55F08F37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07-2023 </w:t>
                  </w:r>
                </w:p>
                <w:p w14:paraId="08B30C19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(Zawarta umowa na chmurę docelową)  </w:t>
                  </w:r>
                </w:p>
              </w:tc>
              <w:tc>
                <w:tcPr>
                  <w:tcW w:w="3457" w:type="dxa"/>
                  <w:vAlign w:val="center"/>
                </w:tcPr>
                <w:p w14:paraId="57E3C9C3" w14:textId="77777777" w:rsidR="00ED6985" w:rsidRPr="00DC19B1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DC19B1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Osiągnięty </w:t>
                  </w:r>
                </w:p>
                <w:p w14:paraId="58C01DE6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</w:p>
                <w:p w14:paraId="5D47D526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Jednym z podstawowych czynników nieosiągnięcia Kamienia milowego w terminie był fakt, że w ramach umowy jednym z produktów od Wykonawcy Systemu było przekazanie rekomendacji odnośnie infrastruktury chmurowej dla Zamawiającego, który na ich bazie opracowywał OPZ i dokumentację przetargową.</w:t>
                  </w:r>
                </w:p>
                <w:p w14:paraId="27C8EF6B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  <w:p w14:paraId="6295A2D4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W dniu 20.10.2022 r. zawarto aneks nr 5 do Porozumienia zwiększając wartość projektu o dodatkowe 1,2 mln zł na koszty usługi hostingu infrastruktury oraz zmianę terminu kamienia milowego </w:t>
                  </w:r>
                </w:p>
                <w:p w14:paraId="21947962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  <w:p w14:paraId="58015A53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Jednocześnie informuję, że Beneficjent otrzymał zgodę IP na rozdzielnie zadania związanego z hostingiem infrastruktury na: </w:t>
                  </w:r>
                </w:p>
                <w:p w14:paraId="46F3050F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kontrakt 1 - Usługi informatyczne- licencja MS </w:t>
                  </w:r>
                  <w:proofErr w:type="spellStart"/>
                  <w:r w:rsidRPr="00125CE4">
                    <w:rPr>
                      <w:rFonts w:cstheme="minorHAnsi"/>
                      <w:sz w:val="14"/>
                      <w:szCs w:val="14"/>
                    </w:rPr>
                    <w:t>Azure</w:t>
                  </w:r>
                  <w:proofErr w:type="spellEnd"/>
                </w:p>
                <w:p w14:paraId="7415E14B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kontrakt 2 - Usługi informatyczne- chmura docelowa</w:t>
                  </w:r>
                </w:p>
                <w:p w14:paraId="0670FA14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</w:tr>
            <w:tr w:rsidR="00BD23C0" w:rsidRPr="00125CE4" w14:paraId="5A182DC6" w14:textId="77777777" w:rsidTr="009F414C">
              <w:trPr>
                <w:trHeight w:val="1349"/>
              </w:trPr>
              <w:tc>
                <w:tcPr>
                  <w:tcW w:w="1227" w:type="dxa"/>
                  <w:vAlign w:val="center"/>
                </w:tcPr>
                <w:p w14:paraId="40E2C675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Opracowanie dokumentacji projektowej systemu TRANS-TACHO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E43A9D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14:paraId="0CA97726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09-2022</w:t>
                  </w:r>
                </w:p>
              </w:tc>
              <w:tc>
                <w:tcPr>
                  <w:tcW w:w="1081" w:type="dxa"/>
                  <w:vAlign w:val="center"/>
                </w:tcPr>
                <w:p w14:paraId="5C4CA5AD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12-2022 </w:t>
                  </w:r>
                </w:p>
              </w:tc>
              <w:tc>
                <w:tcPr>
                  <w:tcW w:w="3457" w:type="dxa"/>
                  <w:vAlign w:val="center"/>
                </w:tcPr>
                <w:p w14:paraId="037CB285" w14:textId="77777777" w:rsidR="00ED6985" w:rsidRPr="00DC19B1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DC19B1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Osiągnięty </w:t>
                  </w:r>
                </w:p>
                <w:p w14:paraId="61D95588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4"/>
                      <w:szCs w:val="14"/>
                    </w:rPr>
                  </w:pPr>
                </w:p>
                <w:p w14:paraId="34C73A66" w14:textId="21E9F81A" w:rsidR="00ED6985" w:rsidRPr="006F62CF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Powodem opóźnienia w osiągnięciu kamienia milowego było m in.</w:t>
                  </w:r>
                  <w:r w:rsidR="0021629C">
                    <w:rPr>
                      <w:rFonts w:cstheme="minorHAnsi"/>
                      <w:sz w:val="14"/>
                      <w:szCs w:val="14"/>
                    </w:rPr>
                    <w:t xml:space="preserve"> opóźnienie zawarcia Umowy z Wykonawcą w związku z </w:t>
                  </w:r>
                  <w:r w:rsidR="002138A7">
                    <w:rPr>
                      <w:rFonts w:cstheme="minorHAnsi"/>
                      <w:sz w:val="14"/>
                      <w:szCs w:val="14"/>
                    </w:rPr>
                    <w:t>rosnącymi cenami cen usług IT</w:t>
                  </w: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. </w:t>
                  </w:r>
                </w:p>
              </w:tc>
            </w:tr>
            <w:tr w:rsidR="00BD23C0" w:rsidRPr="00125CE4" w14:paraId="693038B6" w14:textId="77777777" w:rsidTr="006A60C6">
              <w:trPr>
                <w:trHeight w:val="1463"/>
              </w:trPr>
              <w:tc>
                <w:tcPr>
                  <w:tcW w:w="1227" w:type="dxa"/>
                  <w:vAlign w:val="center"/>
                </w:tcPr>
                <w:p w14:paraId="6CA0F326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Opracowanie interfejsów do systemów zewnętrznych oraz publicznego API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9CDA0F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shd w:val="clear" w:color="auto" w:fill="auto"/>
                  <w:vAlign w:val="center"/>
                </w:tcPr>
                <w:p w14:paraId="1D6668F6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 xml:space="preserve">06.2023 </w:t>
                  </w:r>
                </w:p>
              </w:tc>
              <w:tc>
                <w:tcPr>
                  <w:tcW w:w="1081" w:type="dxa"/>
                  <w:vAlign w:val="center"/>
                </w:tcPr>
                <w:p w14:paraId="7CD5746A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  <w:highlight w:val="yellow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12.2023</w:t>
                  </w:r>
                </w:p>
              </w:tc>
              <w:tc>
                <w:tcPr>
                  <w:tcW w:w="3457" w:type="dxa"/>
                  <w:vAlign w:val="center"/>
                </w:tcPr>
                <w:p w14:paraId="23DFF88D" w14:textId="77777777" w:rsidR="00ED6985" w:rsidRPr="001925C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Osiągnięty</w:t>
                  </w:r>
                </w:p>
                <w:p w14:paraId="624EFE61" w14:textId="77777777" w:rsidR="00ED6985" w:rsidRPr="00125CE4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Przyczyną nieosiągnięcia Kamienia milowego w terminie był fakt, że dopiero dokumentacja powykonawcza (produkt Etapu VI – ostatni etap wdrożenia Systemu) wskazuje pełne opisy metody połączenia API TRANS-TACHO z innymi systemami zewnętrznymi. </w:t>
                  </w:r>
                </w:p>
                <w:p w14:paraId="0B81C22F" w14:textId="77777777" w:rsidR="00ED6985" w:rsidRPr="00125CE4" w:rsidRDefault="00ED6985" w:rsidP="009F414C">
                  <w:pPr>
                    <w:rPr>
                      <w:rFonts w:cstheme="minorHAnsi"/>
                      <w:b/>
                      <w:bCs/>
                      <w:sz w:val="14"/>
                      <w:szCs w:val="14"/>
                    </w:rPr>
                  </w:pPr>
                </w:p>
                <w:p w14:paraId="0C032A9E" w14:textId="77777777" w:rsidR="00ED6985" w:rsidRDefault="00ED6985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Wraz z odbiorem dokumentacji powykonawczej osiągnięto KM. </w:t>
                  </w:r>
                </w:p>
                <w:p w14:paraId="7E79624D" w14:textId="64F51F44" w:rsidR="004D3C8E" w:rsidRPr="00125CE4" w:rsidRDefault="00606822" w:rsidP="009F414C">
                  <w:pPr>
                    <w:rPr>
                      <w:rFonts w:cstheme="minorHAnsi"/>
                      <w:sz w:val="14"/>
                      <w:szCs w:val="14"/>
                    </w:rPr>
                  </w:pPr>
                  <w:r>
                    <w:rPr>
                      <w:rFonts w:cstheme="minorHAnsi"/>
                      <w:sz w:val="14"/>
                      <w:szCs w:val="14"/>
                    </w:rPr>
                    <w:t>Pierwotny</w:t>
                  </w:r>
                  <w:r w:rsidR="004D3C8E">
                    <w:rPr>
                      <w:rFonts w:cstheme="minorHAnsi"/>
                      <w:sz w:val="14"/>
                      <w:szCs w:val="14"/>
                    </w:rPr>
                    <w:t xml:space="preserve"> termin zakończenia projektu przypadał </w:t>
                  </w:r>
                  <w:r>
                    <w:rPr>
                      <w:rFonts w:cstheme="minorHAnsi"/>
                      <w:sz w:val="14"/>
                      <w:szCs w:val="14"/>
                    </w:rPr>
                    <w:t xml:space="preserve">w czerwcu 2023 r. Termin uległ zmienia na bazie Aneksu nr 4 </w:t>
                  </w:r>
                  <w:r w:rsidR="00D553F2">
                    <w:rPr>
                      <w:rFonts w:cstheme="minorHAnsi"/>
                      <w:sz w:val="14"/>
                      <w:szCs w:val="14"/>
                    </w:rPr>
                    <w:t xml:space="preserve">i 6 </w:t>
                  </w:r>
                  <w:r>
                    <w:rPr>
                      <w:rFonts w:cstheme="minorHAnsi"/>
                      <w:sz w:val="14"/>
                      <w:szCs w:val="14"/>
                    </w:rPr>
                    <w:t xml:space="preserve">z Instytucją Pośredniczącą. </w:t>
                  </w:r>
                </w:p>
                <w:p w14:paraId="7086A2F2" w14:textId="77777777" w:rsidR="00ED6985" w:rsidRPr="00125CE4" w:rsidRDefault="00ED6985" w:rsidP="009F414C">
                  <w:pPr>
                    <w:rPr>
                      <w:rFonts w:cstheme="minorHAnsi"/>
                      <w:b/>
                      <w:bCs/>
                      <w:sz w:val="14"/>
                      <w:szCs w:val="14"/>
                    </w:rPr>
                  </w:pPr>
                </w:p>
                <w:p w14:paraId="78261CEA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BD23C0" w:rsidRPr="00125CE4" w14:paraId="65DBA17E" w14:textId="77777777" w:rsidTr="006A60C6">
              <w:trPr>
                <w:trHeight w:val="1221"/>
              </w:trPr>
              <w:tc>
                <w:tcPr>
                  <w:tcW w:w="1227" w:type="dxa"/>
                  <w:vAlign w:val="center"/>
                </w:tcPr>
                <w:p w14:paraId="79FC9A1F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Migracja baz i rejestrów. Podpisanie protokołu odbioru.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B188B3" w14:textId="7C32C974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1200" w:type="dxa"/>
                  <w:vAlign w:val="center"/>
                </w:tcPr>
                <w:p w14:paraId="37D63B88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</w:p>
                <w:p w14:paraId="30B69797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 xml:space="preserve">08.2023 </w:t>
                  </w:r>
                </w:p>
              </w:tc>
              <w:tc>
                <w:tcPr>
                  <w:tcW w:w="1081" w:type="dxa"/>
                  <w:vAlign w:val="center"/>
                </w:tcPr>
                <w:p w14:paraId="67E244C2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10.2023</w:t>
                  </w:r>
                </w:p>
              </w:tc>
              <w:tc>
                <w:tcPr>
                  <w:tcW w:w="3457" w:type="dxa"/>
                  <w:vAlign w:val="center"/>
                </w:tcPr>
                <w:p w14:paraId="6E74BC90" w14:textId="77777777" w:rsidR="00ED6985" w:rsidRPr="001925C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Osiągnięty</w:t>
                  </w:r>
                </w:p>
                <w:p w14:paraId="0F72C458" w14:textId="084663C9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Przyczyną nieosiągnięcia Kamienia milowego w pierwotnie zakładanym terminie była konieczność aktualizacji </w:t>
                  </w:r>
                  <w:r w:rsidR="00B3294F">
                    <w:rPr>
                      <w:rFonts w:cstheme="minorHAnsi"/>
                      <w:sz w:val="14"/>
                      <w:szCs w:val="14"/>
                    </w:rPr>
                    <w:t xml:space="preserve">danych </w:t>
                  </w:r>
                  <w:r w:rsidRPr="00125CE4">
                    <w:rPr>
                      <w:rFonts w:cstheme="minorHAnsi"/>
                      <w:sz w:val="14"/>
                      <w:szCs w:val="14"/>
                    </w:rPr>
                    <w:t>w związku z gromadzonymi i ciągle narastającymi danymi w systemie źródłowym Beneficjenta. W związku z powyższym Wykonawca dokonał aktualizacji migracji danych</w:t>
                  </w:r>
                  <w:r w:rsidR="00B3294F">
                    <w:rPr>
                      <w:rFonts w:cstheme="minorHAnsi"/>
                      <w:sz w:val="14"/>
                      <w:szCs w:val="14"/>
                    </w:rPr>
                    <w:t>,</w:t>
                  </w: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 aby nie powstała luka w bazie danych.</w:t>
                  </w:r>
                </w:p>
                <w:p w14:paraId="40E32A54" w14:textId="77777777" w:rsidR="00ED6985" w:rsidRPr="00125CE4" w:rsidRDefault="00ED6985" w:rsidP="00ED6985">
                  <w:pPr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</w:p>
              </w:tc>
            </w:tr>
            <w:tr w:rsidR="00BD23C0" w:rsidRPr="00125CE4" w14:paraId="43BCEC95" w14:textId="77777777" w:rsidTr="006A60C6">
              <w:trPr>
                <w:trHeight w:val="2022"/>
              </w:trPr>
              <w:tc>
                <w:tcPr>
                  <w:tcW w:w="1227" w:type="dxa"/>
                  <w:vAlign w:val="center"/>
                </w:tcPr>
                <w:p w14:paraId="35CF5BD4" w14:textId="77777777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>Zakończenie testów i odbiorów systemu. Wdrożenie produkcyjne systemu TRANS-TACHO.</w:t>
                  </w:r>
                </w:p>
              </w:tc>
              <w:tc>
                <w:tcPr>
                  <w:tcW w:w="12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81EA46" w14:textId="5890133D" w:rsidR="00ED6985" w:rsidRPr="00125CE4" w:rsidRDefault="00ED6985" w:rsidP="00ED6985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1200" w:type="dxa"/>
                  <w:vAlign w:val="center"/>
                </w:tcPr>
                <w:p w14:paraId="4C053860" w14:textId="77777777" w:rsidR="00ED6985" w:rsidRPr="00125CE4" w:rsidRDefault="00ED6985" w:rsidP="00ED6985">
                  <w:pPr>
                    <w:jc w:val="center"/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</w:pPr>
                  <w:r w:rsidRPr="00125CE4">
                    <w:rPr>
                      <w:rFonts w:eastAsia="Times New Roman" w:cstheme="minorHAnsi"/>
                      <w:sz w:val="14"/>
                      <w:szCs w:val="14"/>
                      <w:lang w:eastAsia="pl-PL"/>
                    </w:rPr>
                    <w:t xml:space="preserve">11.2023 </w:t>
                  </w:r>
                </w:p>
              </w:tc>
              <w:tc>
                <w:tcPr>
                  <w:tcW w:w="1081" w:type="dxa"/>
                  <w:vAlign w:val="center"/>
                </w:tcPr>
                <w:p w14:paraId="7F509682" w14:textId="77777777" w:rsidR="00ED6985" w:rsidRPr="00125CE4" w:rsidRDefault="00ED6985" w:rsidP="00ED6985">
                  <w:pPr>
                    <w:pStyle w:val="Akapitzlist"/>
                    <w:ind w:left="7"/>
                    <w:jc w:val="center"/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12.2023</w:t>
                  </w:r>
                </w:p>
              </w:tc>
              <w:tc>
                <w:tcPr>
                  <w:tcW w:w="3457" w:type="dxa"/>
                  <w:vAlign w:val="center"/>
                </w:tcPr>
                <w:p w14:paraId="51AAFF0C" w14:textId="77777777" w:rsidR="00ED6985" w:rsidRPr="001925C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Osiągnięty  </w:t>
                  </w:r>
                </w:p>
                <w:p w14:paraId="28075916" w14:textId="77777777" w:rsidR="00ED6985" w:rsidRPr="001925C4" w:rsidRDefault="00ED6985" w:rsidP="00ED6985">
                  <w:pPr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  <w:p w14:paraId="3CF15FC8" w14:textId="236683C0" w:rsidR="00ED6985" w:rsidRPr="00125CE4" w:rsidRDefault="00ED6985" w:rsidP="00D553F2">
                  <w:pPr>
                    <w:rPr>
                      <w:rFonts w:cstheme="minorHAnsi"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Zmiana wynika</w:t>
                  </w:r>
                  <w:r w:rsidR="00484529" w:rsidRPr="00125CE4">
                    <w:rPr>
                      <w:rFonts w:cstheme="minorHAnsi"/>
                      <w:sz w:val="14"/>
                      <w:szCs w:val="14"/>
                    </w:rPr>
                    <w:t>ła</w:t>
                  </w:r>
                  <w:r w:rsidRPr="00125CE4">
                    <w:rPr>
                      <w:rFonts w:cstheme="minorHAnsi"/>
                      <w:sz w:val="14"/>
                      <w:szCs w:val="14"/>
                    </w:rPr>
                    <w:t xml:space="preserve">, z faktu wydłużenie okresu realizacji projektu do dnia 31.12.2023. poprzez podpisanie Aneksu nr 6 do Porozumienia z CPPC. </w:t>
                  </w:r>
                </w:p>
                <w:p w14:paraId="12F45DBE" w14:textId="77777777" w:rsidR="00ED6985" w:rsidRPr="00125CE4" w:rsidRDefault="00ED6985" w:rsidP="00D553F2">
                  <w:pPr>
                    <w:rPr>
                      <w:rFonts w:cstheme="minorHAnsi"/>
                      <w:b/>
                      <w:bCs/>
                      <w:sz w:val="14"/>
                      <w:szCs w:val="14"/>
                    </w:rPr>
                  </w:pPr>
                  <w:r w:rsidRPr="00125CE4">
                    <w:rPr>
                      <w:rFonts w:cstheme="minorHAnsi"/>
                      <w:sz w:val="14"/>
                      <w:szCs w:val="14"/>
                    </w:rPr>
                    <w:t>Odbiór Systemu odbył się w dniu 05.12.2023 r. od Wykonawcy Systemu i był spowodowany koniecznością dokonania czynności technicznych i administracyjnych związanych z odbiorem Systemu od Wykonawcy Systemu.</w:t>
                  </w:r>
                </w:p>
              </w:tc>
            </w:tr>
          </w:tbl>
          <w:p w14:paraId="74B97B62" w14:textId="77777777" w:rsidR="00B860E5" w:rsidRDefault="00B860E5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77A20F7" w14:textId="77777777" w:rsidR="00B860E5" w:rsidRDefault="00B860E5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B5C2F39" w14:textId="1E3F3825" w:rsidR="002450C4" w:rsidRDefault="002450C4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AD16CF8" w14:textId="50936375" w:rsidR="00BF337D" w:rsidRDefault="00187EAE" w:rsidP="00187EAE">
            <w:pPr>
              <w:jc w:val="both"/>
              <w:rPr>
                <w:rFonts w:cstheme="minorHAnsi"/>
                <w:sz w:val="18"/>
                <w:szCs w:val="18"/>
              </w:rPr>
            </w:pPr>
            <w:r w:rsidRPr="00187EAE">
              <w:rPr>
                <w:rFonts w:cstheme="minorHAnsi"/>
                <w:sz w:val="18"/>
                <w:szCs w:val="18"/>
              </w:rPr>
              <w:lastRenderedPageBreak/>
              <w:t>*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61D35" w:rsidRPr="00187EAE">
              <w:rPr>
                <w:rFonts w:cstheme="minorHAnsi"/>
                <w:sz w:val="18"/>
                <w:szCs w:val="18"/>
              </w:rPr>
              <w:t xml:space="preserve">Z uwagi na </w:t>
            </w:r>
            <w:r w:rsidR="0007586B">
              <w:rPr>
                <w:rFonts w:cstheme="minorHAnsi"/>
                <w:sz w:val="18"/>
                <w:szCs w:val="18"/>
              </w:rPr>
              <w:t>postępowanie w KIO w</w:t>
            </w:r>
            <w:r w:rsidR="00137720">
              <w:rPr>
                <w:rFonts w:cstheme="minorHAnsi"/>
                <w:sz w:val="18"/>
                <w:szCs w:val="18"/>
              </w:rPr>
              <w:t xml:space="preserve"> ramach postępowania na Doradcę technicznego oraz w związku z koniecznością występowania o dodatkowe środki </w:t>
            </w:r>
            <w:r w:rsidR="00596EA9">
              <w:rPr>
                <w:rFonts w:cstheme="minorHAnsi"/>
                <w:sz w:val="18"/>
                <w:szCs w:val="18"/>
              </w:rPr>
              <w:t>do Instytucji Pośredniczącej,</w:t>
            </w:r>
            <w:r w:rsidR="008B576A" w:rsidRPr="00187EAE">
              <w:rPr>
                <w:rFonts w:cstheme="minorHAnsi"/>
                <w:sz w:val="18"/>
                <w:szCs w:val="18"/>
              </w:rPr>
              <w:t xml:space="preserve"> kolejne kamienie milowe były osiągane w późniejszych</w:t>
            </w:r>
            <w:r w:rsidR="00E546A1" w:rsidRPr="00187EAE">
              <w:rPr>
                <w:rFonts w:cstheme="minorHAnsi"/>
                <w:sz w:val="18"/>
                <w:szCs w:val="18"/>
              </w:rPr>
              <w:t xml:space="preserve"> datach.</w:t>
            </w:r>
          </w:p>
          <w:p w14:paraId="51A6C108" w14:textId="77777777" w:rsidR="00DF2C0B" w:rsidRDefault="00DF2C0B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1FC6FE8" w14:textId="7C5E074C" w:rsidR="004649C2" w:rsidRDefault="004649C2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92910CB" w14:textId="70C34B2D" w:rsidR="004649C2" w:rsidRPr="004649C2" w:rsidRDefault="004649C2" w:rsidP="004649C2">
            <w:pPr>
              <w:pStyle w:val="Tekstpodstawowy"/>
              <w:rPr>
                <w:b/>
                <w:bCs/>
              </w:rPr>
            </w:pPr>
            <w:r w:rsidRPr="004649C2">
              <w:rPr>
                <w:b/>
                <w:bCs/>
              </w:rPr>
              <w:t>W wyniku realizacji projektu powstały poniżej wymienione produkty</w:t>
            </w:r>
            <w:r w:rsidR="00B51A80">
              <w:rPr>
                <w:b/>
                <w:bCs/>
              </w:rPr>
              <w:t>:</w:t>
            </w:r>
            <w:r w:rsidRPr="004649C2">
              <w:rPr>
                <w:b/>
                <w:bCs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Produkty końcowe projektu "/>
            </w:tblPr>
            <w:tblGrid>
              <w:gridCol w:w="4007"/>
              <w:gridCol w:w="4007"/>
            </w:tblGrid>
            <w:tr w:rsidR="00EC225C" w:rsidRPr="000E2A91" w14:paraId="5922D330" w14:textId="77777777" w:rsidTr="006A60C6">
              <w:trPr>
                <w:trHeight w:val="657"/>
                <w:tblHeader/>
              </w:trPr>
              <w:tc>
                <w:tcPr>
                  <w:tcW w:w="4007" w:type="dxa"/>
                  <w:shd w:val="clear" w:color="auto" w:fill="D0CECE" w:themeFill="background2" w:themeFillShade="E6"/>
                  <w:vAlign w:val="center"/>
                </w:tcPr>
                <w:p w14:paraId="25536588" w14:textId="77777777" w:rsidR="00EC225C" w:rsidRPr="000E2A91" w:rsidRDefault="00EC225C" w:rsidP="006A60C6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E2A91">
                    <w:rPr>
                      <w:rFonts w:cstheme="minorHAnsi"/>
                      <w:b/>
                      <w:sz w:val="18"/>
                      <w:szCs w:val="18"/>
                    </w:rPr>
                    <w:t>Nazwa produktu</w:t>
                  </w:r>
                </w:p>
              </w:tc>
              <w:tc>
                <w:tcPr>
                  <w:tcW w:w="4007" w:type="dxa"/>
                  <w:shd w:val="clear" w:color="auto" w:fill="D0CECE" w:themeFill="background2" w:themeFillShade="E6"/>
                  <w:vAlign w:val="center"/>
                </w:tcPr>
                <w:p w14:paraId="1C8C25E0" w14:textId="77777777" w:rsidR="00EC225C" w:rsidRPr="000E2A91" w:rsidRDefault="00EC225C" w:rsidP="006A60C6">
                  <w:pPr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E2A91">
                    <w:rPr>
                      <w:rFonts w:cstheme="minorHAnsi"/>
                      <w:b/>
                      <w:sz w:val="18"/>
                      <w:szCs w:val="18"/>
                    </w:rPr>
                    <w:t>Rzeczywista data wdrożenia</w:t>
                  </w:r>
                </w:p>
              </w:tc>
            </w:tr>
            <w:tr w:rsidR="00EC225C" w:rsidRPr="000E2A91" w14:paraId="7D652501" w14:textId="77777777" w:rsidTr="006A60C6">
              <w:trPr>
                <w:trHeight w:val="828"/>
              </w:trPr>
              <w:tc>
                <w:tcPr>
                  <w:tcW w:w="4007" w:type="dxa"/>
                  <w:vAlign w:val="center"/>
                </w:tcPr>
                <w:p w14:paraId="6F8C359B" w14:textId="77777777" w:rsidR="001A2A49" w:rsidRPr="000E2A91" w:rsidRDefault="00EC225C" w:rsidP="001A2A49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Baza danych (ewidencja i rejestry)</w:t>
                  </w:r>
                  <w:r w:rsidR="001A2A49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: zezwolenia,</w:t>
                  </w:r>
                </w:p>
                <w:p w14:paraId="280CC6F5" w14:textId="0765F128" w:rsidR="00EC225C" w:rsidRPr="000E2A91" w:rsidRDefault="001A2A49" w:rsidP="001A2A49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zmiany, wygaszenia, cofnięcia, certyfikaty techników i podmiotów szkolących oraz zawieszenia działalności (część publiczna) oraz certyfikaty techników, wykazy urządzeń, zmiany w wyposażeniu warsztatu (część po zalogowaniu)</w:t>
                  </w:r>
                </w:p>
              </w:tc>
              <w:tc>
                <w:tcPr>
                  <w:tcW w:w="4007" w:type="dxa"/>
                  <w:vAlign w:val="center"/>
                </w:tcPr>
                <w:p w14:paraId="714E1B71" w14:textId="77777777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</w:p>
                <w:p w14:paraId="5C7FA6F3" w14:textId="7CFC28CD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10.2023</w:t>
                  </w:r>
                </w:p>
                <w:p w14:paraId="28349D82" w14:textId="77777777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  <w:p w14:paraId="058B46EB" w14:textId="77777777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</w:tr>
            <w:tr w:rsidR="00EC225C" w:rsidRPr="000E2A91" w14:paraId="7B46BAC3" w14:textId="77777777" w:rsidTr="006A60C6">
              <w:trPr>
                <w:trHeight w:val="242"/>
              </w:trPr>
              <w:tc>
                <w:tcPr>
                  <w:tcW w:w="4007" w:type="dxa"/>
                  <w:vAlign w:val="center"/>
                </w:tcPr>
                <w:p w14:paraId="2C498B47" w14:textId="77777777" w:rsidR="00EC225C" w:rsidRPr="000E2A91" w:rsidRDefault="00EC225C" w:rsidP="007273A8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 xml:space="preserve">Portal </w:t>
                  </w:r>
                  <w:proofErr w:type="spellStart"/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Informacyjny</w:t>
                  </w:r>
                  <w:proofErr w:type="spellEnd"/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Użytkownika</w:t>
                  </w:r>
                  <w:proofErr w:type="spellEnd"/>
                </w:p>
              </w:tc>
              <w:tc>
                <w:tcPr>
                  <w:tcW w:w="4007" w:type="dxa"/>
                  <w:vAlign w:val="center"/>
                </w:tcPr>
                <w:p w14:paraId="3598A486" w14:textId="70B6471E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12.2023</w:t>
                  </w:r>
                </w:p>
              </w:tc>
            </w:tr>
            <w:tr w:rsidR="00EC225C" w:rsidRPr="000E2A91" w14:paraId="1BE0A683" w14:textId="77777777" w:rsidTr="006A60C6">
              <w:trPr>
                <w:trHeight w:val="200"/>
              </w:trPr>
              <w:tc>
                <w:tcPr>
                  <w:tcW w:w="4007" w:type="dxa"/>
                  <w:vAlign w:val="center"/>
                </w:tcPr>
                <w:p w14:paraId="6377BCF4" w14:textId="13A22E08" w:rsidR="00EC225C" w:rsidRPr="000E2A91" w:rsidRDefault="00EC225C" w:rsidP="007273A8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Aplikacja OFF-Line</w:t>
                  </w:r>
                  <w:r w:rsidR="007273A8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 wspomagająca kontrolę wraz z formularzami</w:t>
                  </w:r>
                </w:p>
              </w:tc>
              <w:tc>
                <w:tcPr>
                  <w:tcW w:w="4007" w:type="dxa"/>
                  <w:vAlign w:val="center"/>
                </w:tcPr>
                <w:p w14:paraId="184C33F0" w14:textId="1BD3337A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12.2023</w:t>
                  </w:r>
                </w:p>
              </w:tc>
            </w:tr>
            <w:tr w:rsidR="00EC225C" w:rsidRPr="000E2A91" w14:paraId="436EA20F" w14:textId="77777777" w:rsidTr="00711FC4">
              <w:trPr>
                <w:trHeight w:val="538"/>
              </w:trPr>
              <w:tc>
                <w:tcPr>
                  <w:tcW w:w="4007" w:type="dxa"/>
                  <w:vAlign w:val="center"/>
                </w:tcPr>
                <w:p w14:paraId="1460B726" w14:textId="5DED6443" w:rsidR="00EC225C" w:rsidRPr="000E2A91" w:rsidRDefault="00EC225C" w:rsidP="005108FB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API do systemu TRANS-TACHO</w:t>
                  </w:r>
                  <w:r w:rsidR="005108FB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: m.in. przykładowe zapytania i kod generujący odpowiednie odpowiedzi po stronie systemu, do zaimplementowania przez zainteresowanego użytkownika </w:t>
                  </w:r>
                </w:p>
              </w:tc>
              <w:tc>
                <w:tcPr>
                  <w:tcW w:w="4007" w:type="dxa"/>
                  <w:vAlign w:val="center"/>
                </w:tcPr>
                <w:p w14:paraId="17D5372A" w14:textId="6082A227" w:rsidR="00EC225C" w:rsidRPr="000E2A91" w:rsidRDefault="00EC225C" w:rsidP="00711FC4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12.2023</w:t>
                  </w:r>
                </w:p>
              </w:tc>
            </w:tr>
            <w:tr w:rsidR="00EC225C" w:rsidRPr="000E2A91" w14:paraId="124CE64C" w14:textId="77777777" w:rsidTr="006A60C6">
              <w:trPr>
                <w:trHeight w:val="978"/>
              </w:trPr>
              <w:tc>
                <w:tcPr>
                  <w:tcW w:w="4007" w:type="dxa"/>
                  <w:vAlign w:val="center"/>
                </w:tcPr>
                <w:p w14:paraId="0EE744ED" w14:textId="7804B9F0" w:rsidR="00A85853" w:rsidRPr="000E2A91" w:rsidRDefault="00EC225C" w:rsidP="00A85853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System TRANS-TACHO</w:t>
                  </w:r>
                  <w:r w:rsidR="00A85853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: </w:t>
                  </w:r>
                  <w:r w:rsidR="0088587B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w</w:t>
                  </w:r>
                  <w:r w:rsidR="00A85853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 skład systemu wchodzi wiele komponentów, które</w:t>
                  </w:r>
                </w:p>
                <w:p w14:paraId="4EE44BBB" w14:textId="398AD317" w:rsidR="00A85853" w:rsidRPr="000E2A91" w:rsidRDefault="00A85853" w:rsidP="00A85853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udost</w:t>
                  </w:r>
                  <w:r w:rsidR="00800F09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ępniają</w:t>
                  </w: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 zestawy interfejsów usprawniających prowadzenie działalności gospodarczej oraz</w:t>
                  </w:r>
                  <w:r w:rsidR="00800F09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 </w:t>
                  </w: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wykonywanie zawodu regulowanego w obszarze tachografów przez wprowadzenie elektronicznych usług</w:t>
                  </w:r>
                </w:p>
                <w:p w14:paraId="064BE967" w14:textId="0049E51C" w:rsidR="00EC225C" w:rsidRPr="000E2A91" w:rsidRDefault="00A85853" w:rsidP="00A85853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publicznych A2B i A2C</w:t>
                  </w:r>
                  <w:r w:rsidR="00236A66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, które</w:t>
                  </w: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 przyczyniają się do zmniejszenia formalności po stronie interesariuszy</w:t>
                  </w:r>
                  <w:r w:rsidR="0088587B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. </w:t>
                  </w:r>
                </w:p>
              </w:tc>
              <w:tc>
                <w:tcPr>
                  <w:tcW w:w="4007" w:type="dxa"/>
                  <w:vAlign w:val="center"/>
                </w:tcPr>
                <w:p w14:paraId="73FB9A68" w14:textId="77777777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</w:p>
                <w:p w14:paraId="721C1E60" w14:textId="77777777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12.2023</w:t>
                  </w:r>
                </w:p>
              </w:tc>
            </w:tr>
            <w:tr w:rsidR="00EC225C" w:rsidRPr="000E2A91" w14:paraId="38E7D696" w14:textId="77777777" w:rsidTr="006A60C6">
              <w:trPr>
                <w:trHeight w:val="269"/>
              </w:trPr>
              <w:tc>
                <w:tcPr>
                  <w:tcW w:w="4007" w:type="dxa"/>
                  <w:vAlign w:val="center"/>
                </w:tcPr>
                <w:p w14:paraId="2B2B9CFF" w14:textId="18B9CE3A" w:rsidR="00EC225C" w:rsidRPr="000E2A91" w:rsidRDefault="00EC225C" w:rsidP="00236A66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Szkolenie użytkowników</w:t>
                  </w:r>
                  <w:r w:rsidR="00015288"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 xml:space="preserve"> z zakresu </w:t>
                  </w:r>
                </w:p>
              </w:tc>
              <w:tc>
                <w:tcPr>
                  <w:tcW w:w="4007" w:type="dxa"/>
                  <w:vAlign w:val="center"/>
                </w:tcPr>
                <w:p w14:paraId="604713CE" w14:textId="77777777" w:rsidR="00EC225C" w:rsidRPr="000E2A91" w:rsidRDefault="00EC225C" w:rsidP="006A60C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E2A91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09.2023</w:t>
                  </w:r>
                </w:p>
              </w:tc>
            </w:tr>
          </w:tbl>
          <w:p w14:paraId="2D31854B" w14:textId="7777777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F5E04CD" w14:textId="0868759F" w:rsidR="003C5A0C" w:rsidRDefault="003C5A0C" w:rsidP="00187EAE">
            <w:pPr>
              <w:jc w:val="both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wyniku projektu powstał </w:t>
            </w:r>
            <w:r w:rsidR="00C67EFB">
              <w:rPr>
                <w:rFonts w:cstheme="minorHAnsi"/>
                <w:sz w:val="18"/>
                <w:szCs w:val="18"/>
              </w:rPr>
              <w:t xml:space="preserve">system </w:t>
            </w:r>
            <w:r w:rsidR="00742EC9">
              <w:rPr>
                <w:rFonts w:cstheme="minorHAnsi"/>
                <w:sz w:val="18"/>
                <w:szCs w:val="18"/>
              </w:rPr>
              <w:t>TRANS-TACHO</w:t>
            </w:r>
            <w:r w:rsidR="00C67EFB">
              <w:rPr>
                <w:rFonts w:cstheme="minorHAnsi"/>
                <w:sz w:val="18"/>
                <w:szCs w:val="18"/>
              </w:rPr>
              <w:t xml:space="preserve">, który jest dostępny dla wszystkich obywateli  pod linkiem: </w:t>
            </w:r>
            <w:hyperlink r:id="rId11" w:history="1">
              <w:r w:rsidR="00742EC9" w:rsidRPr="005814A8">
                <w:rPr>
                  <w:rStyle w:val="Hipercze"/>
                  <w:rFonts w:cstheme="minorHAnsi"/>
                  <w:sz w:val="18"/>
                  <w:szCs w:val="18"/>
                </w:rPr>
                <w:t>https://www.trans-tacho.gum.gov.pl/</w:t>
              </w:r>
            </w:hyperlink>
            <w:r w:rsidR="00742EC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3391369" w14:textId="3FAA5D37" w:rsidR="00BE28D7" w:rsidRDefault="00BE28D7" w:rsidP="00187EAE">
            <w:pPr>
              <w:jc w:val="both"/>
              <w:rPr>
                <w:rStyle w:val="Hipercze"/>
                <w:rFonts w:cstheme="minorHAnsi"/>
                <w:sz w:val="18"/>
                <w:szCs w:val="18"/>
              </w:rPr>
            </w:pPr>
          </w:p>
          <w:p w14:paraId="05C6D80F" w14:textId="77777777" w:rsidR="00BE28D7" w:rsidRDefault="00BE28D7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042ABBD" w14:textId="6A8C6616" w:rsidR="0030093A" w:rsidRPr="00C33C18" w:rsidRDefault="0030093A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2450C4" w14:paraId="6E73E67C" w14:textId="77777777" w:rsidTr="006A60C6">
        <w:tc>
          <w:tcPr>
            <w:tcW w:w="437" w:type="dxa"/>
          </w:tcPr>
          <w:p w14:paraId="227455E1" w14:textId="034228C0" w:rsidR="004D135D" w:rsidRPr="002450C4" w:rsidRDefault="00715D46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6.</w:t>
            </w:r>
          </w:p>
        </w:tc>
        <w:tc>
          <w:tcPr>
            <w:tcW w:w="1535" w:type="dxa"/>
          </w:tcPr>
          <w:p w14:paraId="640F5C9F" w14:textId="77777777" w:rsidR="004D135D" w:rsidRPr="00054456" w:rsidRDefault="004D135D">
            <w:pPr>
              <w:rPr>
                <w:sz w:val="18"/>
                <w:szCs w:val="20"/>
                <w:highlight w:val="yellow"/>
              </w:rPr>
            </w:pPr>
            <w:r w:rsidRPr="00C8598E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371" w:type="dxa"/>
          </w:tcPr>
          <w:p w14:paraId="3EE32C06" w14:textId="3316FBF8" w:rsidR="00883F1D" w:rsidRPr="00592434" w:rsidRDefault="00883F1D" w:rsidP="00883F1D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zostały uruchomione niżej wymienione usługi publiczne (typu A2B</w:t>
            </w:r>
            <w:r w:rsidR="004F7976">
              <w:rPr>
                <w:rFonts w:cstheme="minorHAnsi"/>
                <w:sz w:val="18"/>
                <w:szCs w:val="18"/>
              </w:rPr>
              <w:t xml:space="preserve"> i A2C</w:t>
            </w:r>
            <w:r w:rsidRPr="00592434">
              <w:rPr>
                <w:rFonts w:cstheme="minorHAnsi"/>
                <w:sz w:val="18"/>
                <w:szCs w:val="18"/>
              </w:rPr>
              <w:t>):</w:t>
            </w:r>
          </w:p>
          <w:p w14:paraId="18A2FEEA" w14:textId="71416062" w:rsidR="00A11E4F" w:rsidRPr="00566D41" w:rsidRDefault="001653FD" w:rsidP="00A11E4F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1653FD">
              <w:rPr>
                <w:rFonts w:cstheme="minorHAnsi"/>
                <w:sz w:val="18"/>
                <w:szCs w:val="18"/>
              </w:rPr>
              <w:t xml:space="preserve">Usługa certyfikacji technika </w:t>
            </w:r>
            <w:r w:rsidR="001C00B4">
              <w:rPr>
                <w:rFonts w:cstheme="minorHAnsi"/>
                <w:sz w:val="18"/>
                <w:szCs w:val="18"/>
              </w:rPr>
              <w:t xml:space="preserve">(A2C) </w:t>
            </w:r>
            <w:r w:rsidR="00883F1D" w:rsidRPr="00592434">
              <w:rPr>
                <w:rFonts w:cstheme="minorHAnsi"/>
                <w:sz w:val="18"/>
                <w:szCs w:val="18"/>
              </w:rPr>
              <w:t xml:space="preserve">– osiągnięty poziom dojrzałości usługi – </w:t>
            </w:r>
            <w:r w:rsidR="00CB68B7">
              <w:rPr>
                <w:rFonts w:cstheme="minorHAnsi"/>
                <w:sz w:val="18"/>
                <w:szCs w:val="18"/>
              </w:rPr>
              <w:t>4</w:t>
            </w:r>
            <w:r w:rsidR="00883F1D" w:rsidRPr="00592434">
              <w:rPr>
                <w:rFonts w:cstheme="minorHAnsi"/>
                <w:sz w:val="18"/>
                <w:szCs w:val="18"/>
              </w:rPr>
              <w:t xml:space="preserve"> –  </w:t>
            </w:r>
            <w:r w:rsidR="00951AB4">
              <w:rPr>
                <w:rFonts w:cstheme="minorHAnsi"/>
                <w:sz w:val="18"/>
                <w:szCs w:val="18"/>
              </w:rPr>
              <w:t>transakcja</w:t>
            </w:r>
            <w:r w:rsidR="00883F1D" w:rsidRPr="00592434">
              <w:rPr>
                <w:rFonts w:cstheme="minorHAnsi"/>
                <w:sz w:val="18"/>
                <w:szCs w:val="18"/>
              </w:rPr>
              <w:t xml:space="preserve"> 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– </w:t>
            </w:r>
            <w:r w:rsidR="00C44040" w:rsidRPr="00566D41">
              <w:rPr>
                <w:rFonts w:cstheme="minorHAnsi"/>
                <w:sz w:val="18"/>
                <w:szCs w:val="18"/>
              </w:rPr>
              <w:t>dostarczenie wszystkich dokumentów i doręczeń w postaci elektronicznej,</w:t>
            </w:r>
            <w:r w:rsidR="005B6C24" w:rsidRPr="00566D41">
              <w:rPr>
                <w:rFonts w:cstheme="minorHAnsi"/>
                <w:sz w:val="18"/>
                <w:szCs w:val="18"/>
              </w:rPr>
              <w:t xml:space="preserve"> </w:t>
            </w:r>
            <w:r w:rsidR="00C44040" w:rsidRPr="00566D41">
              <w:rPr>
                <w:rFonts w:cstheme="minorHAnsi"/>
                <w:sz w:val="18"/>
                <w:szCs w:val="18"/>
              </w:rPr>
              <w:t>brak czynności, które obywatel lub przedsiębiorca musiałby wykonać w postaci papierowej,</w:t>
            </w:r>
            <w:r w:rsidR="005B6C24" w:rsidRPr="00566D41">
              <w:rPr>
                <w:rFonts w:cstheme="minorHAnsi"/>
                <w:sz w:val="18"/>
                <w:szCs w:val="18"/>
              </w:rPr>
              <w:t xml:space="preserve"> </w:t>
            </w:r>
            <w:r w:rsidR="00C44040" w:rsidRPr="00566D41">
              <w:rPr>
                <w:rFonts w:cstheme="minorHAnsi"/>
                <w:sz w:val="18"/>
                <w:szCs w:val="18"/>
              </w:rPr>
              <w:t>w przypadku wymagania dokonania płatności – możliwość dokonania tej płatności</w:t>
            </w:r>
            <w:r w:rsidR="005B6C24" w:rsidRPr="00566D41">
              <w:rPr>
                <w:rFonts w:cstheme="minorHAnsi"/>
                <w:sz w:val="18"/>
                <w:szCs w:val="18"/>
              </w:rPr>
              <w:t xml:space="preserve"> poprzez System. </w:t>
            </w:r>
          </w:p>
          <w:p w14:paraId="56C24DB0" w14:textId="1369C6D9" w:rsidR="00A11E4F" w:rsidRPr="00566D41" w:rsidRDefault="00A808AD" w:rsidP="00A11E4F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66D41">
              <w:rPr>
                <w:rFonts w:cstheme="minorHAnsi"/>
                <w:sz w:val="18"/>
                <w:szCs w:val="18"/>
              </w:rPr>
              <w:t>Usługa certyfikacji podmiotu prowadzącego warsztat tachografów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 </w:t>
            </w:r>
            <w:r w:rsidR="001C00B4">
              <w:rPr>
                <w:rFonts w:cstheme="minorHAnsi"/>
                <w:sz w:val="18"/>
                <w:szCs w:val="18"/>
              </w:rPr>
              <w:t xml:space="preserve">(A2B) 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– osiągnięty poziom dojrzałości usługi – </w:t>
            </w:r>
            <w:r w:rsidR="008B025B" w:rsidRPr="00566D41">
              <w:rPr>
                <w:rFonts w:cstheme="minorHAnsi"/>
                <w:sz w:val="18"/>
                <w:szCs w:val="18"/>
              </w:rPr>
              <w:t>4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 – jw.</w:t>
            </w:r>
          </w:p>
          <w:p w14:paraId="655AA9D2" w14:textId="51FDAFCF" w:rsidR="00A11E4F" w:rsidRPr="00566D41" w:rsidRDefault="00FB3EB1" w:rsidP="00A11E4F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66D41">
              <w:rPr>
                <w:rFonts w:cstheme="minorHAnsi"/>
                <w:sz w:val="18"/>
                <w:szCs w:val="18"/>
              </w:rPr>
              <w:t>Usługa certyfikacji podmiotu szkolącego</w:t>
            </w:r>
            <w:r w:rsidR="001C00B4">
              <w:rPr>
                <w:rFonts w:cstheme="minorHAnsi"/>
                <w:sz w:val="18"/>
                <w:szCs w:val="18"/>
              </w:rPr>
              <w:t xml:space="preserve"> (A2B)</w:t>
            </w:r>
            <w:r w:rsidRPr="00566D41">
              <w:rPr>
                <w:rFonts w:cstheme="minorHAnsi"/>
                <w:sz w:val="18"/>
                <w:szCs w:val="18"/>
              </w:rPr>
              <w:t xml:space="preserve"> 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– osiągnięty poziom dojrzałości usługi – </w:t>
            </w:r>
            <w:r w:rsidR="008B025B" w:rsidRPr="00566D41">
              <w:rPr>
                <w:rFonts w:cstheme="minorHAnsi"/>
                <w:sz w:val="18"/>
                <w:szCs w:val="18"/>
              </w:rPr>
              <w:t>4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 – jw.</w:t>
            </w:r>
          </w:p>
          <w:p w14:paraId="75A24D14" w14:textId="7C126ECD" w:rsidR="004D135D" w:rsidRPr="00A11E4F" w:rsidRDefault="000A4E55" w:rsidP="00A11E4F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66D41">
              <w:rPr>
                <w:rFonts w:cstheme="minorHAnsi"/>
                <w:sz w:val="18"/>
                <w:szCs w:val="18"/>
              </w:rPr>
              <w:t>Usługa certyfikacji tachografu</w:t>
            </w:r>
            <w:r w:rsidR="001C00B4">
              <w:rPr>
                <w:rFonts w:cstheme="minorHAnsi"/>
                <w:sz w:val="18"/>
                <w:szCs w:val="18"/>
              </w:rPr>
              <w:t xml:space="preserve"> (A2</w:t>
            </w:r>
            <w:r w:rsidR="00D75FD1">
              <w:rPr>
                <w:rFonts w:cstheme="minorHAnsi"/>
                <w:sz w:val="18"/>
                <w:szCs w:val="18"/>
              </w:rPr>
              <w:t>B)</w:t>
            </w:r>
            <w:r w:rsidRPr="00566D41">
              <w:rPr>
                <w:rFonts w:cstheme="minorHAnsi"/>
                <w:sz w:val="18"/>
                <w:szCs w:val="18"/>
              </w:rPr>
              <w:t xml:space="preserve"> 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– osiągnięty poziom dojrzałości usługi – </w:t>
            </w:r>
            <w:r w:rsidR="008B025B" w:rsidRPr="00566D41">
              <w:rPr>
                <w:rFonts w:cstheme="minorHAnsi"/>
                <w:sz w:val="18"/>
                <w:szCs w:val="18"/>
              </w:rPr>
              <w:t>4</w:t>
            </w:r>
            <w:r w:rsidR="00883F1D" w:rsidRPr="00566D41">
              <w:rPr>
                <w:rFonts w:cstheme="minorHAnsi"/>
                <w:sz w:val="18"/>
                <w:szCs w:val="18"/>
              </w:rPr>
              <w:t xml:space="preserve"> – jw.</w:t>
            </w:r>
          </w:p>
        </w:tc>
      </w:tr>
      <w:tr w:rsidR="00920CE8" w:rsidRPr="002450C4" w14:paraId="3B15F404" w14:textId="77777777" w:rsidTr="006A60C6">
        <w:tc>
          <w:tcPr>
            <w:tcW w:w="437" w:type="dxa"/>
          </w:tcPr>
          <w:p w14:paraId="6F5E0460" w14:textId="62A4ADC2" w:rsidR="00920CE8" w:rsidRPr="00CC58B1" w:rsidRDefault="00CC58B1" w:rsidP="00CC58B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</w:t>
            </w:r>
          </w:p>
        </w:tc>
        <w:tc>
          <w:tcPr>
            <w:tcW w:w="1535" w:type="dxa"/>
          </w:tcPr>
          <w:p w14:paraId="04DAD548" w14:textId="77777777" w:rsidR="00920CE8" w:rsidRPr="00054456" w:rsidRDefault="00920CE8" w:rsidP="0092099A">
            <w:pPr>
              <w:rPr>
                <w:sz w:val="18"/>
                <w:szCs w:val="20"/>
                <w:highlight w:val="yellow"/>
              </w:rPr>
            </w:pPr>
            <w:r w:rsidRPr="00D67CF1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371" w:type="dxa"/>
          </w:tcPr>
          <w:p w14:paraId="78A1556F" w14:textId="33A23ED7" w:rsidR="00FF6A6F" w:rsidRPr="00946A22" w:rsidRDefault="00FF6A6F" w:rsidP="00FF6A6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46A22">
              <w:rPr>
                <w:rFonts w:cstheme="minorHAnsi"/>
                <w:bCs/>
                <w:sz w:val="18"/>
                <w:szCs w:val="18"/>
              </w:rPr>
              <w:t>Realizacja niniejszego projektu przyczyniła się do realizacji wskaźnika rezultatu strategicznego, który wskazany jest na poziomie POPC:</w:t>
            </w:r>
          </w:p>
          <w:p w14:paraId="08BA4D3E" w14:textId="058A27B3" w:rsidR="00D17437" w:rsidRDefault="00FF6A6F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85E3E">
              <w:rPr>
                <w:rFonts w:cstheme="minorHAnsi"/>
                <w:bCs/>
                <w:sz w:val="18"/>
                <w:szCs w:val="18"/>
              </w:rPr>
              <w:t>Odsetek przedsiębiorstw korzystających z Internetu w kontaktach z administracją publiczną w celu odsyłania wypełnionych formularzy w postaci</w:t>
            </w:r>
            <w:r w:rsidR="00946A22" w:rsidRPr="00B85E3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85E3E">
              <w:rPr>
                <w:rFonts w:cstheme="minorHAnsi"/>
                <w:bCs/>
                <w:sz w:val="18"/>
                <w:szCs w:val="18"/>
              </w:rPr>
              <w:t>elektronicznej. Dzięki wdrożeniu i udostępnieniu e-usług świadczonych przez GUM z wykorzystaniem formularzy elektronicznych, które są</w:t>
            </w:r>
            <w:r w:rsidR="005D0019" w:rsidRPr="00B85E3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85E3E">
              <w:rPr>
                <w:rFonts w:cstheme="minorHAnsi"/>
                <w:bCs/>
                <w:sz w:val="18"/>
                <w:szCs w:val="18"/>
              </w:rPr>
              <w:t>odpowiedzią na zaistniałe potrzeby przedsiębiorców, zwiększy</w:t>
            </w:r>
            <w:r w:rsidR="00946A22" w:rsidRPr="00B85E3E">
              <w:rPr>
                <w:rFonts w:cstheme="minorHAnsi"/>
                <w:bCs/>
                <w:sz w:val="18"/>
                <w:szCs w:val="18"/>
              </w:rPr>
              <w:t>ło</w:t>
            </w:r>
            <w:r w:rsidRPr="00B85E3E">
              <w:rPr>
                <w:rFonts w:cstheme="minorHAnsi"/>
                <w:bCs/>
                <w:sz w:val="18"/>
                <w:szCs w:val="18"/>
              </w:rPr>
              <w:t xml:space="preserve"> się zainteresowanie e-administracją oraz wykorzystywanie Internetu do załatwiania</w:t>
            </w:r>
            <w:r w:rsidR="005832D3" w:rsidRPr="00B85E3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85E3E">
              <w:rPr>
                <w:rFonts w:cstheme="minorHAnsi"/>
                <w:bCs/>
                <w:sz w:val="18"/>
                <w:szCs w:val="18"/>
              </w:rPr>
              <w:t>spraw administracyjnych.</w:t>
            </w:r>
          </w:p>
          <w:p w14:paraId="5108C415" w14:textId="77777777" w:rsidR="00762003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6C529581" w14:textId="4B3E2CFB" w:rsidR="005F6A07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Realizacja projektu odbywa</w:t>
            </w:r>
            <w:r w:rsidR="006D0265">
              <w:rPr>
                <w:rFonts w:cstheme="minorHAnsi"/>
                <w:bCs/>
                <w:sz w:val="18"/>
                <w:szCs w:val="18"/>
              </w:rPr>
              <w:t>ła</w:t>
            </w:r>
            <w:r>
              <w:rPr>
                <w:rFonts w:cstheme="minorHAnsi"/>
                <w:bCs/>
                <w:sz w:val="18"/>
                <w:szCs w:val="18"/>
              </w:rPr>
              <w:t xml:space="preserve"> się na podstawie celów strategicznych zawartych </w:t>
            </w:r>
            <w:r w:rsidR="00B3402E">
              <w:rPr>
                <w:rFonts w:cstheme="minorHAnsi"/>
                <w:bCs/>
                <w:sz w:val="18"/>
                <w:szCs w:val="18"/>
              </w:rPr>
              <w:t>w niżej wymienionych dokumentach/programach:</w:t>
            </w:r>
          </w:p>
          <w:p w14:paraId="3966E8DA" w14:textId="58344EE9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Strategia Sprawne Państwo 2020 – cel 5 zakładający efektywne świadczenie</w:t>
            </w:r>
            <w:r w:rsidR="006631A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usług publicznych, w tym standaryzację i zarządzanie usługami publicznymi,</w:t>
            </w:r>
            <w:r w:rsidR="006631A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ze szczególnym uwzględnieniem technologii cyfrowych.</w:t>
            </w:r>
          </w:p>
          <w:p w14:paraId="279FA606" w14:textId="77777777" w:rsidR="006631AC" w:rsidRDefault="006631AC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85B7870" w14:textId="477DFD95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Strategia na Rzecz Odpowiedzialnego Rozwoju do roku 2020 (z perspektywą</w:t>
            </w:r>
            <w:r w:rsidR="006631A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do 2030 r.) - udostępnianie wysokiej jakości usług na rzecz obywateli, w tym</w:t>
            </w:r>
            <w:r w:rsidR="006631AC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również przedsiębiorców.</w:t>
            </w:r>
          </w:p>
          <w:p w14:paraId="3A902112" w14:textId="6E4DB4B5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lastRenderedPageBreak/>
              <w:t>Założenia Programu Zintegrowanej Informatyzacji Państwa. Program Rozwoju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na lata 2019 – 2022. Kierunek interwencji 5.1: Reorientacja administracji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publicznej na usługi zorientowane wokół potrzeb obywatela. Cel szczegółowy:</w:t>
            </w:r>
          </w:p>
          <w:p w14:paraId="3EB47B12" w14:textId="74061D02" w:rsid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Zwiększenie jakości oraz zakresu komunikacji pomiędzy obywatelami i innymi</w:t>
            </w:r>
            <w:r w:rsidR="00B3037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interesariuszami a państwem.</w:t>
            </w:r>
          </w:p>
          <w:p w14:paraId="32E61882" w14:textId="77777777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7B71E7E9" w14:textId="363AF04B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Program Operacyjny Polska Cyfrowa - rozwój e-usług dla Klientów,</w:t>
            </w:r>
            <w:r w:rsidR="00B3037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elektronicznej wymiany dokumentów i informacji.</w:t>
            </w:r>
          </w:p>
          <w:p w14:paraId="3E5053B1" w14:textId="356B595A" w:rsid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CEL strategiczny GUM nr 4 „Szeroka oferta i wysoka jakość usług” –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rozszerzony zakres usług w odpowiedzi na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potrzeby klientów. Optymalizacja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procesu usług, zwiększenie komunikacji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z klientem.</w:t>
            </w:r>
          </w:p>
          <w:p w14:paraId="7218FF1B" w14:textId="77777777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2AA78292" w14:textId="77777777" w:rsidR="002D35ED" w:rsidRP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Europa 2020, Europejska agenda cyfrowa, Przyśpieszenie innowacji w</w:t>
            </w:r>
          </w:p>
          <w:p w14:paraId="7748E9A3" w14:textId="77777777" w:rsid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sektorze publicznym, Zaufanie i bezpieczeństwo;</w:t>
            </w:r>
          </w:p>
          <w:p w14:paraId="33A152F6" w14:textId="77777777" w:rsidR="00315CD9" w:rsidRPr="002D35ED" w:rsidRDefault="00315CD9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47AE772" w14:textId="60FCF254" w:rsidR="00315CD9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Strategia Rozwoju Kraju 2020. Aktywne społeczeństwo, konkurencyjna</w:t>
            </w:r>
            <w:r w:rsidR="00B3037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 xml:space="preserve">gospodarka, sprawne państwo, W Obszarze strategicznym I. </w:t>
            </w:r>
          </w:p>
          <w:p w14:paraId="1CA5CD95" w14:textId="682EAD8B" w:rsid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Cel I.1; w</w:t>
            </w:r>
            <w:r w:rsidR="00315C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Obszarze strategicznym II. Cel II.2.4. i Cel II.5;</w:t>
            </w:r>
          </w:p>
          <w:p w14:paraId="30DF7CD5" w14:textId="77777777" w:rsidR="00B30372" w:rsidRPr="002D35ED" w:rsidRDefault="00B30372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3C3D3CDB" w14:textId="6CB3DA42" w:rsidR="00B3402E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D35ED">
              <w:rPr>
                <w:rFonts w:cstheme="minorHAnsi"/>
                <w:bCs/>
                <w:sz w:val="18"/>
                <w:szCs w:val="18"/>
              </w:rPr>
              <w:t>CEL strategiczny GUM nr 8 „Efektywny system ochrony bezpieczeństwa</w:t>
            </w:r>
            <w:r w:rsidR="00315C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gospodarczego i technicznego państwa oraz interesów obywateli” -</w:t>
            </w:r>
            <w:r w:rsidR="00315C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zwiększenie bezpieczeństwa systemu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tachografów i w konsekwencji</w:t>
            </w:r>
            <w:r w:rsidR="00315CD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2D35ED">
              <w:rPr>
                <w:rFonts w:cstheme="minorHAnsi"/>
                <w:bCs/>
                <w:sz w:val="18"/>
                <w:szCs w:val="18"/>
              </w:rPr>
              <w:t>bezpieczeństwa transportu drogowego.</w:t>
            </w:r>
          </w:p>
          <w:p w14:paraId="77689D5E" w14:textId="77777777" w:rsidR="002D35ED" w:rsidRDefault="002D35ED" w:rsidP="002D35ED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50BCD92A" w14:textId="206C2B3B" w:rsidR="000E2670" w:rsidRDefault="00B51A80" w:rsidP="000E2670">
            <w:pPr>
              <w:spacing w:before="240" w:after="12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W ramach projektu osiągnięto następujące wskaźniki:</w:t>
            </w:r>
          </w:p>
          <w:tbl>
            <w:tblPr>
              <w:tblStyle w:val="Tabela-Siatka"/>
              <w:tblW w:w="8178" w:type="dxa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2224"/>
              <w:gridCol w:w="634"/>
              <w:gridCol w:w="1309"/>
              <w:gridCol w:w="1361"/>
              <w:gridCol w:w="2650"/>
            </w:tblGrid>
            <w:tr w:rsidR="00A54448" w:rsidRPr="001925C4" w14:paraId="4440F3D3" w14:textId="77777777" w:rsidTr="006A60C6">
              <w:trPr>
                <w:trHeight w:val="989"/>
                <w:tblHeader/>
              </w:trPr>
              <w:tc>
                <w:tcPr>
                  <w:tcW w:w="2224" w:type="dxa"/>
                  <w:shd w:val="clear" w:color="auto" w:fill="D0CECE" w:themeFill="background2" w:themeFillShade="E6"/>
                  <w:vAlign w:val="center"/>
                </w:tcPr>
                <w:p w14:paraId="7C53C323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634" w:type="dxa"/>
                  <w:shd w:val="clear" w:color="auto" w:fill="D0CECE" w:themeFill="background2" w:themeFillShade="E6"/>
                  <w:vAlign w:val="center"/>
                </w:tcPr>
                <w:p w14:paraId="34720E80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1309" w:type="dxa"/>
                  <w:shd w:val="clear" w:color="auto" w:fill="D0CECE" w:themeFill="background2" w:themeFillShade="E6"/>
                  <w:vAlign w:val="center"/>
                </w:tcPr>
                <w:p w14:paraId="16A316D9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t>Wartość</w:t>
                  </w:r>
                </w:p>
                <w:p w14:paraId="09B04E37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t>docelowa</w:t>
                  </w:r>
                </w:p>
              </w:tc>
              <w:tc>
                <w:tcPr>
                  <w:tcW w:w="1361" w:type="dxa"/>
                  <w:shd w:val="clear" w:color="auto" w:fill="D0CECE" w:themeFill="background2" w:themeFillShade="E6"/>
                  <w:vAlign w:val="center"/>
                </w:tcPr>
                <w:p w14:paraId="4BB53D1E" w14:textId="7845E89A" w:rsidR="00A54448" w:rsidRPr="001925C4" w:rsidRDefault="00D01464" w:rsidP="00A54448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t>T</w:t>
                  </w:r>
                  <w:r w:rsidR="00A54448" w:rsidRPr="001925C4">
                    <w:rPr>
                      <w:rFonts w:cstheme="minorHAnsi"/>
                      <w:b/>
                      <w:sz w:val="16"/>
                      <w:szCs w:val="16"/>
                    </w:rPr>
                    <w:t xml:space="preserve">ermin </w:t>
                  </w:r>
                  <w:r w:rsidR="00A54448" w:rsidRPr="001925C4">
                    <w:rPr>
                      <w:rFonts w:cstheme="minorHAnsi"/>
                      <w:b/>
                      <w:sz w:val="16"/>
                      <w:szCs w:val="16"/>
                    </w:rPr>
                    <w:br/>
                    <w:t>osiągnięcia</w:t>
                  </w:r>
                </w:p>
              </w:tc>
              <w:tc>
                <w:tcPr>
                  <w:tcW w:w="2650" w:type="dxa"/>
                  <w:shd w:val="clear" w:color="auto" w:fill="D0CECE" w:themeFill="background2" w:themeFillShade="E6"/>
                  <w:vAlign w:val="center"/>
                </w:tcPr>
                <w:p w14:paraId="02F67707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t xml:space="preserve">Wartość osiągnięta od początku </w:t>
                  </w:r>
                  <w:r w:rsidRPr="001925C4">
                    <w:rPr>
                      <w:rFonts w:cstheme="minorHAnsi"/>
                      <w:b/>
                      <w:sz w:val="16"/>
                      <w:szCs w:val="16"/>
                    </w:rPr>
                    <w:br/>
                    <w:t>realizacji projektu (narastająco)</w:t>
                  </w:r>
                </w:p>
              </w:tc>
            </w:tr>
            <w:tr w:rsidR="00A54448" w:rsidRPr="001925C4" w14:paraId="004903C2" w14:textId="77777777" w:rsidTr="006A60C6">
              <w:trPr>
                <w:trHeight w:val="645"/>
              </w:trPr>
              <w:tc>
                <w:tcPr>
                  <w:tcW w:w="2224" w:type="dxa"/>
                  <w:vAlign w:val="center"/>
                </w:tcPr>
                <w:p w14:paraId="0AD6CCE9" w14:textId="7BDA78AA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1: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Liczba usług publicznych udostępnionych on-line o stopniu dojrzałości co najmniej 4 - transakcja</w:t>
                  </w:r>
                </w:p>
              </w:tc>
              <w:tc>
                <w:tcPr>
                  <w:tcW w:w="634" w:type="dxa"/>
                  <w:vAlign w:val="center"/>
                </w:tcPr>
                <w:p w14:paraId="6D7FB64C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309" w:type="dxa"/>
                  <w:vAlign w:val="center"/>
                </w:tcPr>
                <w:p w14:paraId="57816F87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61" w:type="dxa"/>
                  <w:vAlign w:val="center"/>
                </w:tcPr>
                <w:p w14:paraId="1BA079DE" w14:textId="42AB599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2E79B4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>-2023</w:t>
                  </w:r>
                </w:p>
              </w:tc>
              <w:tc>
                <w:tcPr>
                  <w:tcW w:w="2650" w:type="dxa"/>
                  <w:vAlign w:val="center"/>
                </w:tcPr>
                <w:p w14:paraId="766FFBBB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4</w:t>
                  </w:r>
                </w:p>
                <w:p w14:paraId="41193D14" w14:textId="51B8C65E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A54448" w:rsidRPr="001925C4" w14:paraId="42298EA8" w14:textId="77777777" w:rsidTr="006A60C6">
              <w:trPr>
                <w:trHeight w:val="974"/>
              </w:trPr>
              <w:tc>
                <w:tcPr>
                  <w:tcW w:w="2224" w:type="dxa"/>
                  <w:vAlign w:val="center"/>
                </w:tcPr>
                <w:p w14:paraId="0C21D4A4" w14:textId="247E8380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2: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Liczba uruchomionych systemów teleinformatycznych w podmiotach</w:t>
                  </w:r>
                </w:p>
                <w:p w14:paraId="08E73CAC" w14:textId="77777777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wykonujących zadania publiczne</w:t>
                  </w:r>
                </w:p>
              </w:tc>
              <w:tc>
                <w:tcPr>
                  <w:tcW w:w="634" w:type="dxa"/>
                  <w:vAlign w:val="center"/>
                </w:tcPr>
                <w:p w14:paraId="2A0F50F8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309" w:type="dxa"/>
                  <w:vAlign w:val="center"/>
                </w:tcPr>
                <w:p w14:paraId="28A1F10C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61" w:type="dxa"/>
                  <w:vAlign w:val="center"/>
                </w:tcPr>
                <w:p w14:paraId="67A919B8" w14:textId="7A92DAC6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2E79B4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>-2023</w:t>
                  </w:r>
                </w:p>
                <w:p w14:paraId="5D4CA92B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50" w:type="dxa"/>
                  <w:vAlign w:val="center"/>
                </w:tcPr>
                <w:p w14:paraId="6102C417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A54448" w:rsidRPr="001925C4" w14:paraId="47B87DAB" w14:textId="77777777" w:rsidTr="006A60C6">
              <w:trPr>
                <w:trHeight w:val="974"/>
              </w:trPr>
              <w:tc>
                <w:tcPr>
                  <w:tcW w:w="2224" w:type="dxa"/>
                  <w:vAlign w:val="center"/>
                </w:tcPr>
                <w:p w14:paraId="4F5296E0" w14:textId="6C3B697F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3: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Liczba pracowników podmiotów wykonujących zadania publiczne nie będących pracownikami IT, objętych wsparciem szkoleniowym</w:t>
                  </w:r>
                </w:p>
              </w:tc>
              <w:tc>
                <w:tcPr>
                  <w:tcW w:w="634" w:type="dxa"/>
                  <w:vAlign w:val="center"/>
                </w:tcPr>
                <w:p w14:paraId="2E72F308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1309" w:type="dxa"/>
                  <w:vAlign w:val="center"/>
                </w:tcPr>
                <w:p w14:paraId="0AE243B7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1361" w:type="dxa"/>
                  <w:vAlign w:val="center"/>
                </w:tcPr>
                <w:p w14:paraId="0100CC3E" w14:textId="4C0ED92E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09-2023</w:t>
                  </w:r>
                </w:p>
              </w:tc>
              <w:tc>
                <w:tcPr>
                  <w:tcW w:w="2650" w:type="dxa"/>
                  <w:vAlign w:val="center"/>
                </w:tcPr>
                <w:p w14:paraId="16A80AF1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102</w:t>
                  </w:r>
                </w:p>
              </w:tc>
            </w:tr>
            <w:tr w:rsidR="00A54448" w:rsidRPr="001925C4" w14:paraId="0713816A" w14:textId="77777777" w:rsidTr="006A60C6">
              <w:trPr>
                <w:trHeight w:val="989"/>
              </w:trPr>
              <w:tc>
                <w:tcPr>
                  <w:tcW w:w="2224" w:type="dxa"/>
                  <w:vAlign w:val="center"/>
                </w:tcPr>
                <w:p w14:paraId="0BB9DE5B" w14:textId="56F87336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4: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Liczba pracowników podmiotów wykonujących zadania publiczne niebędących pracownikami IT, objętych wsparciem szkoleniowym - kobiety</w:t>
                  </w:r>
                </w:p>
              </w:tc>
              <w:tc>
                <w:tcPr>
                  <w:tcW w:w="634" w:type="dxa"/>
                  <w:vAlign w:val="center"/>
                </w:tcPr>
                <w:p w14:paraId="749400F4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1309" w:type="dxa"/>
                  <w:vAlign w:val="center"/>
                </w:tcPr>
                <w:p w14:paraId="6CF57DCF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1361" w:type="dxa"/>
                  <w:vAlign w:val="center"/>
                </w:tcPr>
                <w:p w14:paraId="0DE08E30" w14:textId="53DBBD54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09-2023</w:t>
                  </w:r>
                </w:p>
              </w:tc>
              <w:tc>
                <w:tcPr>
                  <w:tcW w:w="2650" w:type="dxa"/>
                  <w:vAlign w:val="center"/>
                </w:tcPr>
                <w:p w14:paraId="7ABB8613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42</w:t>
                  </w:r>
                </w:p>
              </w:tc>
            </w:tr>
            <w:tr w:rsidR="00A54448" w:rsidRPr="001925C4" w14:paraId="2835B870" w14:textId="77777777" w:rsidTr="006A60C6">
              <w:trPr>
                <w:trHeight w:val="1139"/>
              </w:trPr>
              <w:tc>
                <w:tcPr>
                  <w:tcW w:w="2224" w:type="dxa"/>
                  <w:vAlign w:val="center"/>
                </w:tcPr>
                <w:p w14:paraId="12587263" w14:textId="7AC2439D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5: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Liczba pracowników podmiotów wykonujących zadania publiczne</w:t>
                  </w:r>
                </w:p>
                <w:p w14:paraId="66290040" w14:textId="77777777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niebędących pracownikami IT, objętych wsparciem szkoleniowym - mężczyźni</w:t>
                  </w:r>
                </w:p>
              </w:tc>
              <w:tc>
                <w:tcPr>
                  <w:tcW w:w="634" w:type="dxa"/>
                  <w:vAlign w:val="center"/>
                </w:tcPr>
                <w:p w14:paraId="4DFB919B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1309" w:type="dxa"/>
                  <w:vAlign w:val="center"/>
                </w:tcPr>
                <w:p w14:paraId="470DD8E6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1361" w:type="dxa"/>
                  <w:vAlign w:val="center"/>
                </w:tcPr>
                <w:p w14:paraId="2DC5610D" w14:textId="65ADFD31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09-2023</w:t>
                  </w:r>
                </w:p>
              </w:tc>
              <w:tc>
                <w:tcPr>
                  <w:tcW w:w="2650" w:type="dxa"/>
                  <w:vAlign w:val="center"/>
                </w:tcPr>
                <w:p w14:paraId="082901C6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60</w:t>
                  </w:r>
                </w:p>
              </w:tc>
            </w:tr>
            <w:tr w:rsidR="00A54448" w:rsidRPr="001925C4" w14:paraId="0D3DED04" w14:textId="77777777" w:rsidTr="006A60C6">
              <w:trPr>
                <w:trHeight w:val="1139"/>
              </w:trPr>
              <w:tc>
                <w:tcPr>
                  <w:tcW w:w="2224" w:type="dxa"/>
                  <w:vAlign w:val="center"/>
                </w:tcPr>
                <w:p w14:paraId="2FF15A4F" w14:textId="022D6AA1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6: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Liczba załatwionych spraw poprzez udostępnioną on-line usługę publiczną</w:t>
                  </w:r>
                </w:p>
              </w:tc>
              <w:tc>
                <w:tcPr>
                  <w:tcW w:w="634" w:type="dxa"/>
                  <w:vAlign w:val="center"/>
                </w:tcPr>
                <w:p w14:paraId="59225653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309" w:type="dxa"/>
                  <w:vAlign w:val="center"/>
                </w:tcPr>
                <w:p w14:paraId="15568EE3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1 000</w:t>
                  </w:r>
                </w:p>
              </w:tc>
              <w:tc>
                <w:tcPr>
                  <w:tcW w:w="1361" w:type="dxa"/>
                  <w:vAlign w:val="center"/>
                </w:tcPr>
                <w:p w14:paraId="34B4610C" w14:textId="5D3FA58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1316DB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>-2024</w:t>
                  </w:r>
                </w:p>
              </w:tc>
              <w:tc>
                <w:tcPr>
                  <w:tcW w:w="2650" w:type="dxa"/>
                  <w:vAlign w:val="center"/>
                </w:tcPr>
                <w:p w14:paraId="06FBE740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0 </w:t>
                  </w:r>
                </w:p>
                <w:p w14:paraId="08E32638" w14:textId="3C3386AC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W związku z faktem, że został wydłużony okresu realizacji projektu do dnia 31.12.2023. poprzez podpisanie Aneksu nr 6 do Porozumienia z CPPC, termin osiągnięcia wskaźnika </w:t>
                  </w:r>
                  <w:r w:rsidR="00C72217" w:rsidRPr="001925C4">
                    <w:rPr>
                      <w:rFonts w:cstheme="minorHAnsi"/>
                      <w:sz w:val="16"/>
                      <w:szCs w:val="16"/>
                    </w:rPr>
                    <w:t>przesu</w:t>
                  </w:r>
                  <w:r w:rsidR="00C72217">
                    <w:rPr>
                      <w:rFonts w:cstheme="minorHAnsi"/>
                      <w:sz w:val="16"/>
                      <w:szCs w:val="16"/>
                    </w:rPr>
                    <w:t>nął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 xml:space="preserve"> się na: 12.2024</w:t>
                  </w:r>
                </w:p>
              </w:tc>
            </w:tr>
            <w:tr w:rsidR="00A54448" w:rsidRPr="001925C4" w14:paraId="277E0874" w14:textId="77777777" w:rsidTr="006A60C6">
              <w:trPr>
                <w:trHeight w:val="480"/>
              </w:trPr>
              <w:tc>
                <w:tcPr>
                  <w:tcW w:w="2224" w:type="dxa"/>
                  <w:vAlign w:val="center"/>
                </w:tcPr>
                <w:p w14:paraId="1BBA6E8C" w14:textId="30EEC0A3" w:rsidR="00A54448" w:rsidRPr="001925C4" w:rsidRDefault="00A54448" w:rsidP="00A54448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7: 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>Liczba rejestrów publicznych o poprawionej interoperacyjności</w:t>
                  </w:r>
                </w:p>
              </w:tc>
              <w:tc>
                <w:tcPr>
                  <w:tcW w:w="634" w:type="dxa"/>
                  <w:vAlign w:val="center"/>
                </w:tcPr>
                <w:p w14:paraId="5A2FBE42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309" w:type="dxa"/>
                  <w:vAlign w:val="center"/>
                </w:tcPr>
                <w:p w14:paraId="74A2DC2A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361" w:type="dxa"/>
                  <w:vAlign w:val="center"/>
                </w:tcPr>
                <w:p w14:paraId="26E53092" w14:textId="071F11EC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4A48A6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Pr="001925C4">
                    <w:rPr>
                      <w:rFonts w:cstheme="minorHAnsi"/>
                      <w:sz w:val="16"/>
                      <w:szCs w:val="16"/>
                    </w:rPr>
                    <w:t>-2023</w:t>
                  </w:r>
                </w:p>
              </w:tc>
              <w:tc>
                <w:tcPr>
                  <w:tcW w:w="2650" w:type="dxa"/>
                  <w:vAlign w:val="center"/>
                </w:tcPr>
                <w:p w14:paraId="41850783" w14:textId="77777777" w:rsidR="00A54448" w:rsidRPr="001925C4" w:rsidRDefault="00A54448" w:rsidP="00A54448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1925C4"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B6B843B" w14:textId="7E763041" w:rsidR="00CD1608" w:rsidRDefault="00CD1608" w:rsidP="00CD1608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lastRenderedPageBreak/>
              <w:t>*</w:t>
            </w:r>
            <w:r w:rsidRPr="00CD1608">
              <w:rPr>
                <w:rFonts w:cstheme="minorHAnsi"/>
                <w:bCs/>
                <w:sz w:val="16"/>
                <w:szCs w:val="16"/>
              </w:rPr>
              <w:t>Wskaźnik produktu</w:t>
            </w:r>
            <w:r w:rsidR="00060F5C">
              <w:rPr>
                <w:rFonts w:cstheme="minorHAnsi"/>
                <w:bCs/>
                <w:sz w:val="16"/>
                <w:szCs w:val="16"/>
              </w:rPr>
              <w:t xml:space="preserve"> (pozycje z tabeli: 1- 5)</w:t>
            </w:r>
            <w:r w:rsidRPr="00CD1608">
              <w:rPr>
                <w:rFonts w:cstheme="minorHAnsi"/>
                <w:bCs/>
                <w:sz w:val="16"/>
                <w:szCs w:val="16"/>
              </w:rPr>
              <w:t>: Sposób pomiaru i weryfikowalność wszystkich powyższych wskaźników wynika z dokumentów projektu, protokołów odbioru oraz list ukończonych szkoleń, zgodnie z zapisami Studium Wykonalności.</w:t>
            </w:r>
            <w:r w:rsidRPr="006C2259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32B13634" w14:textId="77777777" w:rsidR="0006132D" w:rsidRDefault="0006132D" w:rsidP="00CD1608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AC71552" w14:textId="0B36FAB5" w:rsidR="0006132D" w:rsidRDefault="0006132D" w:rsidP="00CD1608">
            <w:pPr>
              <w:rPr>
                <w:rFonts w:cstheme="minorHAnsi"/>
                <w:bCs/>
                <w:sz w:val="16"/>
                <w:szCs w:val="16"/>
              </w:rPr>
            </w:pPr>
            <w:r w:rsidRPr="00CD1608">
              <w:rPr>
                <w:rFonts w:cstheme="minorHAnsi"/>
                <w:bCs/>
                <w:sz w:val="16"/>
                <w:szCs w:val="16"/>
              </w:rPr>
              <w:t>Wskaźnik produktu</w:t>
            </w:r>
            <w:r>
              <w:rPr>
                <w:rFonts w:cstheme="minorHAnsi"/>
                <w:bCs/>
                <w:sz w:val="16"/>
                <w:szCs w:val="16"/>
              </w:rPr>
              <w:t xml:space="preserve"> (pozycje z tabeli: 7)</w:t>
            </w:r>
            <w:r w:rsidRPr="00CD1608">
              <w:rPr>
                <w:rFonts w:cstheme="minorHAnsi"/>
                <w:bCs/>
                <w:sz w:val="16"/>
                <w:szCs w:val="16"/>
              </w:rPr>
              <w:t>: Sposób pomiaru i weryfikowalność wszystkich powyższych wskaźników wynika z dokumentów projektu, zgodnie z zapisami Studium Wykonalności.</w:t>
            </w:r>
          </w:p>
          <w:p w14:paraId="4C3F9E3E" w14:textId="77777777" w:rsidR="009F09D3" w:rsidRDefault="009F09D3" w:rsidP="00CD1608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F53D224" w14:textId="77777777" w:rsidR="0006132D" w:rsidRPr="00AC5EEA" w:rsidRDefault="0006132D" w:rsidP="0006132D">
            <w:pPr>
              <w:rPr>
                <w:rFonts w:cstheme="minorHAnsi"/>
                <w:bCs/>
                <w:sz w:val="16"/>
                <w:szCs w:val="16"/>
              </w:rPr>
            </w:pPr>
            <w:r w:rsidRPr="00AC5EEA">
              <w:rPr>
                <w:rFonts w:cstheme="minorHAnsi"/>
                <w:bCs/>
                <w:sz w:val="16"/>
                <w:szCs w:val="16"/>
              </w:rPr>
              <w:t>Liczba rejestrów publicznych o poprawionej interoperacyjności = 5 szt.:</w:t>
            </w:r>
          </w:p>
          <w:p w14:paraId="3DB16D7E" w14:textId="77777777" w:rsidR="0006132D" w:rsidRPr="00AC5EEA" w:rsidRDefault="0006132D" w:rsidP="0006132D">
            <w:pPr>
              <w:rPr>
                <w:rFonts w:cstheme="minorHAnsi"/>
                <w:bCs/>
                <w:sz w:val="16"/>
                <w:szCs w:val="16"/>
              </w:rPr>
            </w:pPr>
            <w:r w:rsidRPr="00AC5EEA">
              <w:rPr>
                <w:rFonts w:cstheme="minorHAnsi"/>
                <w:bCs/>
                <w:sz w:val="16"/>
                <w:szCs w:val="16"/>
              </w:rPr>
              <w:t>1. wykaz homologowanych typów tachografów i elementów składowych tachografu</w:t>
            </w:r>
          </w:p>
          <w:p w14:paraId="5AC26060" w14:textId="77777777" w:rsidR="0006132D" w:rsidRPr="00AC5EEA" w:rsidRDefault="0006132D" w:rsidP="0006132D">
            <w:pPr>
              <w:rPr>
                <w:rFonts w:cstheme="minorHAnsi"/>
                <w:bCs/>
                <w:sz w:val="16"/>
                <w:szCs w:val="16"/>
              </w:rPr>
            </w:pPr>
            <w:r w:rsidRPr="00AC5EEA">
              <w:rPr>
                <w:rFonts w:cstheme="minorHAnsi"/>
                <w:bCs/>
                <w:sz w:val="16"/>
                <w:szCs w:val="16"/>
              </w:rPr>
              <w:t>2. wykaz typów tachografów i elementów składowych tachografu homologowanych przez właściwe organy krajów UE;</w:t>
            </w:r>
          </w:p>
          <w:p w14:paraId="6DF82866" w14:textId="77777777" w:rsidR="0006132D" w:rsidRPr="00AC5EEA" w:rsidRDefault="0006132D" w:rsidP="0006132D">
            <w:pPr>
              <w:rPr>
                <w:rFonts w:cstheme="minorHAnsi"/>
                <w:bCs/>
                <w:sz w:val="16"/>
                <w:szCs w:val="16"/>
              </w:rPr>
            </w:pPr>
            <w:r w:rsidRPr="00AC5EEA">
              <w:rPr>
                <w:rFonts w:cstheme="minorHAnsi"/>
                <w:bCs/>
                <w:sz w:val="16"/>
                <w:szCs w:val="16"/>
              </w:rPr>
              <w:t>3. rejestr wydanych decyzji – zezwoleń w zakresie tachografów (także zmienionych, cofniętych, czasowo cofniętych, wygaśniętych wraz z informacją o zawieszeniu i podjęciu działalności przez podmioty prowadzące warsztaty);</w:t>
            </w:r>
          </w:p>
          <w:p w14:paraId="6432D5FA" w14:textId="77777777" w:rsidR="0006132D" w:rsidRPr="00AC5EEA" w:rsidRDefault="0006132D" w:rsidP="0006132D">
            <w:pPr>
              <w:rPr>
                <w:rFonts w:cstheme="minorHAnsi"/>
                <w:bCs/>
                <w:sz w:val="16"/>
                <w:szCs w:val="16"/>
              </w:rPr>
            </w:pPr>
            <w:r w:rsidRPr="00AC5EEA">
              <w:rPr>
                <w:rFonts w:cstheme="minorHAnsi"/>
                <w:bCs/>
                <w:sz w:val="16"/>
                <w:szCs w:val="16"/>
              </w:rPr>
              <w:t>4. ewidencja podmiotów posiadających zezwolenie (w tym dane osobowe techników);</w:t>
            </w:r>
          </w:p>
          <w:p w14:paraId="0D47BAA7" w14:textId="77777777" w:rsidR="0006132D" w:rsidRPr="00AC5EEA" w:rsidRDefault="0006132D" w:rsidP="0006132D">
            <w:pPr>
              <w:rPr>
                <w:rFonts w:cstheme="minorHAnsi"/>
                <w:bCs/>
                <w:sz w:val="16"/>
                <w:szCs w:val="16"/>
              </w:rPr>
            </w:pPr>
            <w:r w:rsidRPr="00AC5EEA">
              <w:rPr>
                <w:rFonts w:cstheme="minorHAnsi"/>
                <w:bCs/>
                <w:sz w:val="16"/>
                <w:szCs w:val="16"/>
              </w:rPr>
              <w:t>5. rejestr certyfikatów dla podmiotów szkolących.</w:t>
            </w:r>
          </w:p>
          <w:p w14:paraId="6EAE49D8" w14:textId="77777777" w:rsidR="0006132D" w:rsidRPr="00AC5EEA" w:rsidRDefault="0006132D" w:rsidP="00CD1608">
            <w:pPr>
              <w:rPr>
                <w:rFonts w:cstheme="minorHAnsi"/>
                <w:bCs/>
                <w:sz w:val="16"/>
                <w:szCs w:val="16"/>
              </w:rPr>
            </w:pPr>
          </w:p>
          <w:p w14:paraId="55A47075" w14:textId="0472D164" w:rsidR="00A85451" w:rsidRPr="009F373C" w:rsidRDefault="00864CEB" w:rsidP="009F373C">
            <w:pPr>
              <w:spacing w:before="240" w:after="120"/>
              <w:rPr>
                <w:rFonts w:cstheme="minorHAnsi"/>
                <w:bCs/>
                <w:sz w:val="16"/>
                <w:szCs w:val="16"/>
              </w:rPr>
            </w:pPr>
            <w:r w:rsidRPr="000E2670">
              <w:rPr>
                <w:rFonts w:cstheme="minorHAnsi"/>
                <w:bCs/>
                <w:sz w:val="18"/>
                <w:szCs w:val="18"/>
              </w:rPr>
              <w:t>*</w:t>
            </w:r>
            <w:r w:rsidR="00CD1608">
              <w:rPr>
                <w:rFonts w:cstheme="minorHAnsi"/>
                <w:bCs/>
                <w:sz w:val="18"/>
                <w:szCs w:val="18"/>
              </w:rPr>
              <w:t>*</w:t>
            </w:r>
            <w:r w:rsidRPr="000E267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95AFB">
              <w:rPr>
                <w:rFonts w:cstheme="minorHAnsi"/>
                <w:bCs/>
                <w:sz w:val="16"/>
                <w:szCs w:val="16"/>
              </w:rPr>
              <w:t xml:space="preserve">wskaźnik rezultatu bezpośredniego Projektu do osiągnięcia w terminie 12 miesięcy od zakończenia rzeczowej realizacji Projektu, która - zgodnie </w:t>
            </w:r>
            <w:r>
              <w:rPr>
                <w:rFonts w:cstheme="minorHAnsi"/>
                <w:bCs/>
                <w:sz w:val="16"/>
                <w:szCs w:val="16"/>
              </w:rPr>
              <w:t xml:space="preserve">z Aneksem nr </w:t>
            </w:r>
            <w:r w:rsidR="003B6327">
              <w:rPr>
                <w:rFonts w:cstheme="minorHAnsi"/>
                <w:bCs/>
                <w:sz w:val="16"/>
                <w:szCs w:val="16"/>
              </w:rPr>
              <w:t>6</w:t>
            </w:r>
            <w:r w:rsidRPr="00395AFB">
              <w:rPr>
                <w:rFonts w:cstheme="minorHAnsi"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395AFB">
              <w:rPr>
                <w:rFonts w:cstheme="minorHAnsi"/>
                <w:bCs/>
                <w:sz w:val="16"/>
                <w:szCs w:val="16"/>
              </w:rPr>
              <w:t xml:space="preserve">orozumienia o dofinansowanie projektu </w:t>
            </w:r>
            <w:r w:rsidR="009D522D">
              <w:rPr>
                <w:rFonts w:cstheme="minorHAnsi"/>
                <w:bCs/>
                <w:sz w:val="16"/>
                <w:szCs w:val="16"/>
              </w:rPr>
              <w:t xml:space="preserve">- </w:t>
            </w:r>
            <w:r w:rsidRPr="00395AFB">
              <w:rPr>
                <w:rFonts w:cstheme="minorHAnsi"/>
                <w:bCs/>
                <w:sz w:val="16"/>
                <w:szCs w:val="16"/>
              </w:rPr>
              <w:t>obowiązuj</w:t>
            </w:r>
            <w:r w:rsidR="009D522D">
              <w:rPr>
                <w:rFonts w:cstheme="minorHAnsi"/>
                <w:bCs/>
                <w:sz w:val="16"/>
                <w:szCs w:val="16"/>
              </w:rPr>
              <w:t>e</w:t>
            </w:r>
            <w:r w:rsidRPr="00395AFB">
              <w:rPr>
                <w:rFonts w:cstheme="minorHAnsi"/>
                <w:bCs/>
                <w:sz w:val="16"/>
                <w:szCs w:val="16"/>
              </w:rPr>
              <w:t xml:space="preserve"> na dzień 31 </w:t>
            </w:r>
            <w:r>
              <w:rPr>
                <w:rFonts w:cstheme="minorHAnsi"/>
                <w:bCs/>
                <w:sz w:val="16"/>
                <w:szCs w:val="16"/>
              </w:rPr>
              <w:t>grudnia 2023</w:t>
            </w:r>
            <w:r w:rsidRPr="00395AFB">
              <w:rPr>
                <w:rFonts w:cstheme="minorHAnsi"/>
                <w:bCs/>
                <w:sz w:val="16"/>
                <w:szCs w:val="16"/>
              </w:rPr>
              <w:t xml:space="preserve"> r. – przypa</w:t>
            </w:r>
            <w:r>
              <w:rPr>
                <w:rFonts w:cstheme="minorHAnsi"/>
                <w:bCs/>
                <w:sz w:val="16"/>
                <w:szCs w:val="16"/>
              </w:rPr>
              <w:t>dnie</w:t>
            </w:r>
            <w:r w:rsidRPr="00395AFB">
              <w:rPr>
                <w:rFonts w:cstheme="minorHAnsi"/>
                <w:bCs/>
                <w:sz w:val="16"/>
                <w:szCs w:val="16"/>
              </w:rPr>
              <w:t xml:space="preserve"> na </w:t>
            </w:r>
            <w:r w:rsidRPr="00C23A9C">
              <w:rPr>
                <w:rFonts w:cstheme="minorHAnsi"/>
                <w:bCs/>
                <w:sz w:val="16"/>
                <w:szCs w:val="16"/>
              </w:rPr>
              <w:t xml:space="preserve">31 </w:t>
            </w:r>
            <w:r>
              <w:rPr>
                <w:rFonts w:cstheme="minorHAnsi"/>
                <w:bCs/>
                <w:sz w:val="16"/>
                <w:szCs w:val="16"/>
              </w:rPr>
              <w:t>grudnia</w:t>
            </w:r>
            <w:r w:rsidRPr="00C23A9C">
              <w:rPr>
                <w:rFonts w:cstheme="minorHAnsi"/>
                <w:bCs/>
                <w:sz w:val="16"/>
                <w:szCs w:val="16"/>
              </w:rPr>
              <w:t xml:space="preserve"> 202</w:t>
            </w:r>
            <w:r>
              <w:rPr>
                <w:rFonts w:cstheme="minorHAnsi"/>
                <w:bCs/>
                <w:sz w:val="16"/>
                <w:szCs w:val="16"/>
              </w:rPr>
              <w:t>4</w:t>
            </w:r>
            <w:r w:rsidRPr="00C23A9C">
              <w:rPr>
                <w:rFonts w:cstheme="minorHAnsi"/>
                <w:bCs/>
                <w:sz w:val="16"/>
                <w:szCs w:val="16"/>
              </w:rPr>
              <w:t xml:space="preserve"> r</w:t>
            </w:r>
            <w:r w:rsidR="009F373C">
              <w:rPr>
                <w:rFonts w:cstheme="minorHAnsi"/>
                <w:bCs/>
                <w:sz w:val="16"/>
                <w:szCs w:val="16"/>
              </w:rPr>
              <w:t>.</w:t>
            </w:r>
            <w:r w:rsidR="00CD1608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102EF5">
              <w:rPr>
                <w:rFonts w:cstheme="minorHAnsi"/>
                <w:bCs/>
                <w:sz w:val="16"/>
                <w:szCs w:val="16"/>
              </w:rPr>
              <w:t>Wskaźnik rezultatu</w:t>
            </w:r>
            <w:r w:rsidR="001218B4">
              <w:rPr>
                <w:rFonts w:cstheme="minorHAnsi"/>
                <w:bCs/>
                <w:sz w:val="16"/>
                <w:szCs w:val="16"/>
              </w:rPr>
              <w:t xml:space="preserve"> (pozycja z tabeli: 6)</w:t>
            </w:r>
            <w:r w:rsidR="00102EF5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="009F373C" w:rsidRPr="009F373C">
              <w:rPr>
                <w:rFonts w:cstheme="minorHAnsi"/>
                <w:bCs/>
                <w:sz w:val="16"/>
                <w:szCs w:val="16"/>
              </w:rPr>
              <w:t>Liczba załatwionych spraw poprzez udostępnioną on-line usługę publiczną</w:t>
            </w:r>
            <w:r w:rsidR="00102EF5">
              <w:rPr>
                <w:rFonts w:cstheme="minorHAnsi"/>
                <w:bCs/>
                <w:sz w:val="16"/>
                <w:szCs w:val="16"/>
              </w:rPr>
              <w:t xml:space="preserve"> (KPI 6),</w:t>
            </w:r>
            <w:r w:rsidR="009F373C" w:rsidRPr="009F373C">
              <w:rPr>
                <w:rFonts w:cstheme="minorHAnsi"/>
                <w:bCs/>
                <w:sz w:val="16"/>
                <w:szCs w:val="16"/>
              </w:rPr>
              <w:t xml:space="preserve"> wynikać będzie ze statystyk</w:t>
            </w:r>
            <w:r w:rsidR="009F373C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9F373C" w:rsidRPr="009F373C">
              <w:rPr>
                <w:rFonts w:cstheme="minorHAnsi"/>
                <w:bCs/>
                <w:sz w:val="16"/>
                <w:szCs w:val="16"/>
              </w:rPr>
              <w:t>generowanych przez system TRANS-TACHO.</w:t>
            </w:r>
          </w:p>
          <w:p w14:paraId="3BC62213" w14:textId="455BC2F2" w:rsidR="005F6A07" w:rsidRPr="00946A22" w:rsidRDefault="005F6A07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A0A3D" w:rsidRPr="002450C4" w14:paraId="77DF880B" w14:textId="77777777" w:rsidTr="006A60C6">
        <w:tc>
          <w:tcPr>
            <w:tcW w:w="437" w:type="dxa"/>
          </w:tcPr>
          <w:p w14:paraId="543F115F" w14:textId="5FA9FED6" w:rsidR="007A0A3D" w:rsidRPr="002450C4" w:rsidRDefault="00715D46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8.</w:t>
            </w:r>
          </w:p>
        </w:tc>
        <w:tc>
          <w:tcPr>
            <w:tcW w:w="1535" w:type="dxa"/>
          </w:tcPr>
          <w:p w14:paraId="128A5423" w14:textId="77777777" w:rsidR="007A0A3D" w:rsidRPr="00285928" w:rsidRDefault="005D4188" w:rsidP="00A6601B">
            <w:pPr>
              <w:rPr>
                <w:sz w:val="18"/>
                <w:szCs w:val="20"/>
              </w:rPr>
            </w:pPr>
            <w:r w:rsidRPr="00285928">
              <w:rPr>
                <w:sz w:val="18"/>
                <w:szCs w:val="20"/>
              </w:rPr>
              <w:t>Ryzyka i problemy</w:t>
            </w:r>
          </w:p>
        </w:tc>
        <w:tc>
          <w:tcPr>
            <w:tcW w:w="8371" w:type="dxa"/>
          </w:tcPr>
          <w:p w14:paraId="3775CFC6" w14:textId="2A3A9E45" w:rsidR="006C70CA" w:rsidRPr="005B4D75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B4D75">
              <w:rPr>
                <w:rFonts w:cstheme="minorHAnsi"/>
                <w:b/>
                <w:sz w:val="18"/>
                <w:szCs w:val="18"/>
              </w:rPr>
              <w:t>Przekroczenie zakładanych kosztów i terminu realizacji projektu</w:t>
            </w:r>
          </w:p>
          <w:p w14:paraId="4A9C5A16" w14:textId="4D327DE7" w:rsidR="00C4407B" w:rsidRPr="005B4D75" w:rsidRDefault="00C4407B" w:rsidP="006C70CA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B4D75">
              <w:rPr>
                <w:rFonts w:cstheme="minorHAnsi"/>
                <w:bCs/>
                <w:sz w:val="18"/>
                <w:szCs w:val="18"/>
              </w:rPr>
              <w:t>Beneficjent podczas realizacji</w:t>
            </w:r>
            <w:r w:rsidR="006C70CA" w:rsidRPr="005B4D75">
              <w:rPr>
                <w:rFonts w:cstheme="minorHAnsi"/>
                <w:bCs/>
                <w:sz w:val="18"/>
                <w:szCs w:val="18"/>
              </w:rPr>
              <w:t xml:space="preserve"> projektu mierzył się z okresem pandemii, wzmożonych zmian </w:t>
            </w:r>
            <w:r w:rsidR="008700A0" w:rsidRPr="005B4D75">
              <w:rPr>
                <w:rFonts w:cstheme="minorHAnsi"/>
                <w:bCs/>
                <w:sz w:val="18"/>
                <w:szCs w:val="18"/>
              </w:rPr>
              <w:t xml:space="preserve">społeczno-gospodarczych, ekonomicznych związanych z wysoką inflacją co miało przełożenie na wysokość </w:t>
            </w:r>
            <w:r w:rsidR="005231DB" w:rsidRPr="005B4D75">
              <w:rPr>
                <w:rFonts w:cstheme="minorHAnsi"/>
                <w:bCs/>
                <w:sz w:val="18"/>
                <w:szCs w:val="18"/>
              </w:rPr>
              <w:t>składnych</w:t>
            </w:r>
            <w:r w:rsidR="008700A0" w:rsidRPr="005B4D75">
              <w:rPr>
                <w:rFonts w:cstheme="minorHAnsi"/>
                <w:bCs/>
                <w:sz w:val="18"/>
                <w:szCs w:val="18"/>
              </w:rPr>
              <w:t xml:space="preserve"> ofe</w:t>
            </w:r>
            <w:r w:rsidR="005231DB" w:rsidRPr="005B4D75">
              <w:rPr>
                <w:rFonts w:cstheme="minorHAnsi"/>
                <w:bCs/>
                <w:sz w:val="18"/>
                <w:szCs w:val="18"/>
              </w:rPr>
              <w:t>rt przez Wykonawców.</w:t>
            </w:r>
            <w:r w:rsidR="00F3386B" w:rsidRPr="005B4D75">
              <w:rPr>
                <w:rFonts w:cstheme="minorHAnsi"/>
                <w:bCs/>
                <w:sz w:val="18"/>
                <w:szCs w:val="18"/>
              </w:rPr>
              <w:t xml:space="preserve"> W </w:t>
            </w:r>
            <w:r w:rsidR="002F2923" w:rsidRPr="005B4D75">
              <w:rPr>
                <w:rFonts w:cstheme="minorHAnsi"/>
                <w:bCs/>
                <w:sz w:val="18"/>
                <w:szCs w:val="18"/>
              </w:rPr>
              <w:t xml:space="preserve">ramach przetargu </w:t>
            </w:r>
            <w:r w:rsidR="00F3386B" w:rsidRPr="005B4D75">
              <w:rPr>
                <w:rFonts w:cstheme="minorHAnsi"/>
                <w:bCs/>
                <w:sz w:val="18"/>
                <w:szCs w:val="18"/>
              </w:rPr>
              <w:t xml:space="preserve">na realizację budowy i wdrożenia Systemu TRANS-TACHO </w:t>
            </w:r>
            <w:r w:rsidR="002F2923" w:rsidRPr="005B4D75">
              <w:rPr>
                <w:rFonts w:cstheme="minorHAnsi"/>
                <w:bCs/>
                <w:sz w:val="18"/>
                <w:szCs w:val="18"/>
              </w:rPr>
              <w:t xml:space="preserve">złożono kilka ofert, które znacząco przekroczyły </w:t>
            </w:r>
            <w:r w:rsidR="00773CEE" w:rsidRPr="005B4D75">
              <w:rPr>
                <w:rFonts w:cstheme="minorHAnsi"/>
                <w:bCs/>
                <w:sz w:val="18"/>
                <w:szCs w:val="18"/>
              </w:rPr>
              <w:t xml:space="preserve">budżet projektu na ten cel. </w:t>
            </w:r>
            <w:r w:rsidR="00134BB4" w:rsidRPr="005B4D75">
              <w:rPr>
                <w:rFonts w:cstheme="minorHAnsi"/>
                <w:bCs/>
                <w:sz w:val="18"/>
                <w:szCs w:val="18"/>
              </w:rPr>
              <w:t xml:space="preserve">Inne oferty i aktualne szacowania, w tym na usługi doradcze Inżyniera Kontraktu, również wskazywały na znaczny wzrost cen usług IT. </w:t>
            </w:r>
            <w:r w:rsidR="00773CEE" w:rsidRPr="005B4D75">
              <w:rPr>
                <w:rFonts w:cstheme="minorHAnsi"/>
                <w:bCs/>
                <w:sz w:val="18"/>
                <w:szCs w:val="18"/>
              </w:rPr>
              <w:t xml:space="preserve">W związku z powyższym Beneficjent wystąpił w </w:t>
            </w:r>
            <w:r w:rsidR="009B3DCF" w:rsidRPr="005B4D75">
              <w:rPr>
                <w:rFonts w:cstheme="minorHAnsi"/>
                <w:bCs/>
                <w:sz w:val="18"/>
                <w:szCs w:val="18"/>
              </w:rPr>
              <w:t>marcu</w:t>
            </w:r>
            <w:r w:rsidR="00773CEE" w:rsidRPr="005B4D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9B3DCF" w:rsidRPr="005B4D75">
              <w:rPr>
                <w:rFonts w:cstheme="minorHAnsi"/>
                <w:bCs/>
                <w:sz w:val="18"/>
                <w:szCs w:val="18"/>
              </w:rPr>
              <w:t xml:space="preserve">2022 </w:t>
            </w:r>
            <w:r w:rsidR="00773CEE" w:rsidRPr="005B4D75">
              <w:rPr>
                <w:rFonts w:cstheme="minorHAnsi"/>
                <w:bCs/>
                <w:sz w:val="18"/>
                <w:szCs w:val="18"/>
              </w:rPr>
              <w:t xml:space="preserve">do Instytucji Pośredniczącej </w:t>
            </w:r>
            <w:r w:rsidR="009B3DCF" w:rsidRPr="005B4D75">
              <w:rPr>
                <w:rFonts w:cstheme="minorHAnsi"/>
                <w:bCs/>
                <w:sz w:val="18"/>
                <w:szCs w:val="18"/>
              </w:rPr>
              <w:t>z wnioskiem o zmianę</w:t>
            </w:r>
            <w:r w:rsidR="00730FE6" w:rsidRPr="005B4D75">
              <w:rPr>
                <w:rFonts w:cstheme="minorHAnsi"/>
                <w:bCs/>
                <w:sz w:val="18"/>
                <w:szCs w:val="18"/>
              </w:rPr>
              <w:t xml:space="preserve"> (w lutym podjęto pierwsze rozmowy w zakresie możliwości zwiększenia dofinansowania)</w:t>
            </w:r>
            <w:r w:rsidR="009B3DCF" w:rsidRPr="005B4D7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30340" w:rsidRPr="005B4D75">
              <w:rPr>
                <w:rFonts w:cstheme="minorHAnsi"/>
                <w:bCs/>
                <w:sz w:val="18"/>
                <w:szCs w:val="18"/>
              </w:rPr>
              <w:t xml:space="preserve">i w kwietniu 2024 </w:t>
            </w:r>
            <w:r w:rsidR="00AA77B9" w:rsidRPr="005B4D75">
              <w:rPr>
                <w:rFonts w:cstheme="minorHAnsi"/>
                <w:bCs/>
                <w:sz w:val="18"/>
                <w:szCs w:val="18"/>
              </w:rPr>
              <w:t>podpisano</w:t>
            </w:r>
            <w:r w:rsidR="00330340" w:rsidRPr="005B4D75">
              <w:rPr>
                <w:rFonts w:cstheme="minorHAnsi"/>
                <w:bCs/>
                <w:sz w:val="18"/>
                <w:szCs w:val="18"/>
              </w:rPr>
              <w:t xml:space="preserve"> Aneks nr </w:t>
            </w:r>
            <w:r w:rsidR="00F90C0D" w:rsidRPr="005B4D75">
              <w:rPr>
                <w:rFonts w:cstheme="minorHAnsi"/>
                <w:bCs/>
                <w:sz w:val="18"/>
                <w:szCs w:val="18"/>
              </w:rPr>
              <w:t xml:space="preserve">4 </w:t>
            </w:r>
            <w:r w:rsidR="00330340" w:rsidRPr="005B4D75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AA77B9" w:rsidRPr="005B4D75">
              <w:rPr>
                <w:rFonts w:cstheme="minorHAnsi"/>
                <w:bCs/>
                <w:sz w:val="18"/>
                <w:szCs w:val="18"/>
              </w:rPr>
              <w:t xml:space="preserve">zwiększenie </w:t>
            </w:r>
            <w:r w:rsidR="00AC75C4" w:rsidRPr="005B4D75">
              <w:rPr>
                <w:rFonts w:cstheme="minorHAnsi"/>
                <w:bCs/>
                <w:sz w:val="18"/>
                <w:szCs w:val="18"/>
              </w:rPr>
              <w:t>finansowania</w:t>
            </w:r>
            <w:r w:rsidR="00AA77B9" w:rsidRPr="005B4D75">
              <w:rPr>
                <w:rFonts w:cstheme="minorHAnsi"/>
                <w:bCs/>
                <w:sz w:val="18"/>
                <w:szCs w:val="18"/>
              </w:rPr>
              <w:t xml:space="preserve"> projektu m in. na koszt</w:t>
            </w:r>
            <w:r w:rsidR="00AC75C4" w:rsidRPr="005B4D75">
              <w:rPr>
                <w:rFonts w:cstheme="minorHAnsi"/>
                <w:bCs/>
                <w:sz w:val="18"/>
                <w:szCs w:val="18"/>
              </w:rPr>
              <w:t>y</w:t>
            </w:r>
            <w:r w:rsidR="00AA77B9" w:rsidRPr="005B4D75">
              <w:rPr>
                <w:rFonts w:cstheme="minorHAnsi"/>
                <w:bCs/>
                <w:sz w:val="18"/>
                <w:szCs w:val="18"/>
              </w:rPr>
              <w:t xml:space="preserve"> budowy </w:t>
            </w:r>
            <w:r w:rsidR="00AC75C4" w:rsidRPr="005B4D75">
              <w:rPr>
                <w:rFonts w:cstheme="minorHAnsi"/>
                <w:bCs/>
                <w:sz w:val="18"/>
                <w:szCs w:val="18"/>
              </w:rPr>
              <w:t xml:space="preserve">i </w:t>
            </w:r>
            <w:r w:rsidR="00AA77B9" w:rsidRPr="005B4D75">
              <w:rPr>
                <w:rFonts w:cstheme="minorHAnsi"/>
                <w:bCs/>
                <w:sz w:val="18"/>
                <w:szCs w:val="18"/>
              </w:rPr>
              <w:t xml:space="preserve">wdrożenia </w:t>
            </w:r>
            <w:r w:rsidR="00AC75C4" w:rsidRPr="005B4D75">
              <w:rPr>
                <w:rFonts w:cstheme="minorHAnsi"/>
                <w:bCs/>
                <w:sz w:val="18"/>
                <w:szCs w:val="18"/>
              </w:rPr>
              <w:t>Systemu, usługi Inżyniera Kontraktu oraz hosting infrastruktury</w:t>
            </w:r>
            <w:r w:rsidR="00427A9F" w:rsidRPr="005B4D75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58BF5238" w14:textId="77777777" w:rsidR="006F16C4" w:rsidRDefault="008B7E68" w:rsidP="006F16C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B4D75">
              <w:rPr>
                <w:rFonts w:cstheme="minorHAnsi"/>
                <w:bCs/>
                <w:sz w:val="18"/>
                <w:szCs w:val="18"/>
              </w:rPr>
              <w:t>Jednocześnie</w:t>
            </w:r>
            <w:r w:rsidR="00A71E5F" w:rsidRPr="005B4D75">
              <w:rPr>
                <w:rFonts w:cstheme="minorHAnsi"/>
                <w:bCs/>
                <w:sz w:val="18"/>
                <w:szCs w:val="18"/>
              </w:rPr>
              <w:t xml:space="preserve"> doszło do opóźnienia z</w:t>
            </w:r>
            <w:r w:rsidRPr="005B4D75">
              <w:rPr>
                <w:rFonts w:cstheme="minorHAnsi"/>
                <w:bCs/>
                <w:sz w:val="18"/>
                <w:szCs w:val="18"/>
              </w:rPr>
              <w:t xml:space="preserve">awarcia Umowy z Wykonawcą Systemu w związku z koniecznością pozyskania zabezpieczenia środków finansowych </w:t>
            </w:r>
            <w:r w:rsidR="005B4D75" w:rsidRPr="005B4D75">
              <w:rPr>
                <w:rFonts w:cstheme="minorHAnsi"/>
                <w:bCs/>
                <w:sz w:val="18"/>
                <w:szCs w:val="18"/>
              </w:rPr>
              <w:t xml:space="preserve">na budowę i wdrożenia Systemu TRANS-TACHO. </w:t>
            </w:r>
          </w:p>
          <w:p w14:paraId="5ACF75EF" w14:textId="3F15FDCF" w:rsidR="006F16C4" w:rsidRPr="006F16C4" w:rsidRDefault="006F16C4" w:rsidP="006F16C4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F16C4">
              <w:rPr>
                <w:rFonts w:cstheme="minorHAnsi"/>
                <w:b/>
                <w:sz w:val="18"/>
                <w:szCs w:val="18"/>
              </w:rPr>
              <w:t xml:space="preserve">Ciągle rosnące koszty usług IT – hosting </w:t>
            </w:r>
          </w:p>
          <w:p w14:paraId="63EC40DE" w14:textId="77777777" w:rsidR="006F16C4" w:rsidRPr="002034AE" w:rsidRDefault="006F16C4" w:rsidP="006F16C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2034AE">
              <w:rPr>
                <w:rFonts w:cstheme="minorHAnsi"/>
                <w:bCs/>
                <w:sz w:val="18"/>
                <w:szCs w:val="18"/>
              </w:rPr>
              <w:t xml:space="preserve">Beneficjent miał trudności z oszacowaniem miesięcznych kosztów usług hostingu w związku z ciągłymi wzrostami cen usług IT, które były niezależne od Beneficjenta. Podjęto decyzję o rozdzieleniu przetargu na dwie części, aby nie opóźnić procesu budowy i wdrożenia pierwszych prototypów Systemu. Pierwsze próby oszacowania w styczniu 2022 r. wskazywały na kilkukrotne przekroczenie założonego budżetu (400%), podjęto kilka prób optymalizacji wymagań w zakresie udostępniania usług chmury obliczeniowej. W wyniku tych prób – podjęto ich jeszcze 3 – wypracowano właściwe wymagania w zakresie Opisu przedmiotu zamówienia, które również objął aneks nr 4 opisany w pkt. 1. </w:t>
            </w:r>
          </w:p>
          <w:p w14:paraId="6B38CA0B" w14:textId="707ED16F" w:rsidR="00C4407B" w:rsidRPr="008F155A" w:rsidRDefault="00C4407B" w:rsidP="006F16C4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8F155A">
              <w:rPr>
                <w:rFonts w:cstheme="minorHAnsi"/>
                <w:b/>
                <w:sz w:val="18"/>
                <w:szCs w:val="18"/>
              </w:rPr>
              <w:t>Niewystarczające zasoby kadrowe</w:t>
            </w:r>
          </w:p>
          <w:p w14:paraId="326AFE92" w14:textId="2FC66A99" w:rsidR="005928E3" w:rsidRDefault="006F1A25" w:rsidP="007D1287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F155A">
              <w:rPr>
                <w:rFonts w:cstheme="minorHAnsi"/>
                <w:bCs/>
                <w:sz w:val="18"/>
                <w:szCs w:val="18"/>
              </w:rPr>
              <w:t>Beneficjent mierzył się z</w:t>
            </w:r>
            <w:r w:rsidR="005D7015" w:rsidRPr="008F155A">
              <w:rPr>
                <w:rFonts w:cstheme="minorHAnsi"/>
                <w:bCs/>
                <w:sz w:val="18"/>
                <w:szCs w:val="18"/>
              </w:rPr>
              <w:t xml:space="preserve"> problemami </w:t>
            </w:r>
            <w:r w:rsidR="009C65B5" w:rsidRPr="008F155A">
              <w:rPr>
                <w:rFonts w:cstheme="minorHAnsi"/>
                <w:bCs/>
                <w:sz w:val="18"/>
                <w:szCs w:val="18"/>
              </w:rPr>
              <w:t xml:space="preserve">kadrowymi związanymi z </w:t>
            </w:r>
            <w:r w:rsidR="007D6500" w:rsidRPr="008F155A">
              <w:rPr>
                <w:rFonts w:cstheme="minorHAnsi"/>
                <w:bCs/>
                <w:sz w:val="18"/>
                <w:szCs w:val="18"/>
              </w:rPr>
              <w:t>łączeniem pracy podstawowej z</w:t>
            </w:r>
            <w:r w:rsidR="00064F09" w:rsidRPr="008F155A">
              <w:rPr>
                <w:rFonts w:cstheme="minorHAnsi"/>
                <w:bCs/>
                <w:sz w:val="18"/>
                <w:szCs w:val="18"/>
              </w:rPr>
              <w:t xml:space="preserve"> pracą w ramach projektu.</w:t>
            </w:r>
            <w:r w:rsidR="00584923" w:rsidRPr="008F155A">
              <w:rPr>
                <w:rFonts w:cstheme="minorHAnsi"/>
                <w:bCs/>
                <w:sz w:val="18"/>
                <w:szCs w:val="18"/>
              </w:rPr>
              <w:t xml:space="preserve"> Jednocześnie Beneficjent mierzył się z </w:t>
            </w:r>
            <w:r w:rsidR="005B6800">
              <w:rPr>
                <w:rFonts w:cstheme="minorHAnsi"/>
                <w:bCs/>
                <w:sz w:val="18"/>
                <w:szCs w:val="18"/>
              </w:rPr>
              <w:t xml:space="preserve">dużą </w:t>
            </w:r>
            <w:r w:rsidR="00584923" w:rsidRPr="008F155A">
              <w:rPr>
                <w:rFonts w:cstheme="minorHAnsi"/>
                <w:bCs/>
                <w:sz w:val="18"/>
                <w:szCs w:val="18"/>
              </w:rPr>
              <w:t>rotacją pracowniczą i absencją.</w:t>
            </w:r>
            <w:r w:rsidR="009A16A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F66C6" w:rsidRPr="008F155A">
              <w:rPr>
                <w:rFonts w:cstheme="minorHAnsi"/>
                <w:bCs/>
                <w:sz w:val="18"/>
                <w:szCs w:val="18"/>
              </w:rPr>
              <w:t>Sytuacja ustabilizował</w:t>
            </w:r>
            <w:r w:rsidR="009A16A7">
              <w:rPr>
                <w:rFonts w:cstheme="minorHAnsi"/>
                <w:bCs/>
                <w:sz w:val="18"/>
                <w:szCs w:val="18"/>
              </w:rPr>
              <w:t>a</w:t>
            </w:r>
            <w:r w:rsidR="000F66C6" w:rsidRPr="008F155A">
              <w:rPr>
                <w:rFonts w:cstheme="minorHAnsi"/>
                <w:bCs/>
                <w:sz w:val="18"/>
                <w:szCs w:val="18"/>
              </w:rPr>
              <w:t xml:space="preserve"> się w listopadzie 2021 r. po zatrudnieniu obecnego kierownika projektu, który wraz z nowozatrudnionym specjalistą ds. IT </w:t>
            </w:r>
            <w:r w:rsidR="00210644" w:rsidRPr="008F155A">
              <w:rPr>
                <w:rFonts w:cstheme="minorHAnsi"/>
                <w:bCs/>
                <w:sz w:val="18"/>
                <w:szCs w:val="18"/>
              </w:rPr>
              <w:t xml:space="preserve">wzmocnili kompetencje zespołu TRANS-TACHO. </w:t>
            </w:r>
            <w:r w:rsidR="007F4F6D" w:rsidRPr="008F155A">
              <w:rPr>
                <w:rFonts w:cstheme="minorHAnsi"/>
                <w:bCs/>
                <w:sz w:val="18"/>
                <w:szCs w:val="18"/>
              </w:rPr>
              <w:t xml:space="preserve">W ramach projektu zawarto </w:t>
            </w:r>
            <w:r w:rsidR="00210644" w:rsidRPr="008F155A">
              <w:rPr>
                <w:rFonts w:cstheme="minorHAnsi"/>
                <w:bCs/>
                <w:sz w:val="18"/>
                <w:szCs w:val="18"/>
              </w:rPr>
              <w:t xml:space="preserve">również </w:t>
            </w:r>
            <w:r w:rsidR="007F4F6D" w:rsidRPr="008F155A">
              <w:rPr>
                <w:rFonts w:cstheme="minorHAnsi"/>
                <w:bCs/>
                <w:sz w:val="18"/>
                <w:szCs w:val="18"/>
              </w:rPr>
              <w:t xml:space="preserve">umowę doradczą z Inżynierem Kontraktu, który był odpowiedzialny za </w:t>
            </w:r>
            <w:r w:rsidR="009E5C0D" w:rsidRPr="008F155A">
              <w:rPr>
                <w:rFonts w:cstheme="minorHAnsi"/>
                <w:bCs/>
                <w:sz w:val="18"/>
                <w:szCs w:val="18"/>
              </w:rPr>
              <w:t>prawidłową realizację projektu zgodnie z wymaganiami postawionymi w Opisie Przedmiotu Zamówienia oraz za terminową realizację poszczególnych etapów budowy i wdrożenia Systemu TRANS-TACHO</w:t>
            </w:r>
            <w:r w:rsidR="008F155A" w:rsidRPr="008F155A">
              <w:rPr>
                <w:rFonts w:cstheme="minorHAnsi"/>
                <w:bCs/>
                <w:sz w:val="18"/>
                <w:szCs w:val="18"/>
              </w:rPr>
              <w:t xml:space="preserve"> co przyczyniło się do terminowej realizacji projektu. </w:t>
            </w:r>
          </w:p>
          <w:p w14:paraId="12DF0970" w14:textId="07EE2707" w:rsidR="000A2474" w:rsidRPr="00903229" w:rsidRDefault="000A2474" w:rsidP="000A2474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903229">
              <w:rPr>
                <w:rFonts w:cstheme="minorHAnsi"/>
                <w:b/>
                <w:sz w:val="18"/>
                <w:szCs w:val="18"/>
              </w:rPr>
              <w:t xml:space="preserve">Ryzyko niskiego zainteresowania </w:t>
            </w:r>
            <w:r w:rsidR="00A3665A" w:rsidRPr="00903229">
              <w:rPr>
                <w:rFonts w:cstheme="minorHAnsi"/>
                <w:b/>
                <w:sz w:val="18"/>
                <w:szCs w:val="18"/>
              </w:rPr>
              <w:t>Systemem wśród obywateli</w:t>
            </w:r>
            <w:r w:rsidR="006C2259">
              <w:rPr>
                <w:rFonts w:cstheme="minorHAnsi"/>
                <w:b/>
                <w:sz w:val="18"/>
                <w:szCs w:val="18"/>
              </w:rPr>
              <w:t xml:space="preserve"> i przedsiębiorców</w:t>
            </w:r>
            <w:r w:rsidR="00A3665A" w:rsidRPr="00903229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40F55B1B" w14:textId="6883E4B9" w:rsidR="00A3665A" w:rsidRPr="00A3665A" w:rsidRDefault="00A3665A" w:rsidP="00A3665A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Użytkowanie Systemu jest dobrowolne i nie ma obowiązku ustawowego do jej </w:t>
            </w:r>
            <w:r w:rsidR="00703EA6">
              <w:rPr>
                <w:rFonts w:cstheme="minorHAnsi"/>
                <w:bCs/>
                <w:sz w:val="18"/>
                <w:szCs w:val="18"/>
              </w:rPr>
              <w:t xml:space="preserve">użytkowania. </w:t>
            </w:r>
            <w:r w:rsidR="00D479D2">
              <w:rPr>
                <w:rFonts w:cstheme="minorHAnsi"/>
                <w:bCs/>
                <w:sz w:val="18"/>
                <w:szCs w:val="18"/>
              </w:rPr>
              <w:t>Klienci/Obywatele ba</w:t>
            </w:r>
            <w:r w:rsidR="009E799B">
              <w:rPr>
                <w:rFonts w:cstheme="minorHAnsi"/>
                <w:bCs/>
                <w:sz w:val="18"/>
                <w:szCs w:val="18"/>
              </w:rPr>
              <w:t xml:space="preserve">rdzo przywiązani są do </w:t>
            </w:r>
            <w:r w:rsidR="0085167E">
              <w:rPr>
                <w:rFonts w:cstheme="minorHAnsi"/>
                <w:bCs/>
                <w:sz w:val="18"/>
                <w:szCs w:val="18"/>
              </w:rPr>
              <w:t>obecnego proc</w:t>
            </w:r>
            <w:r w:rsidR="00C61A26">
              <w:rPr>
                <w:rFonts w:cstheme="minorHAnsi"/>
                <w:bCs/>
                <w:sz w:val="18"/>
                <w:szCs w:val="18"/>
              </w:rPr>
              <w:t xml:space="preserve">edowania spraw „w papierze”. </w:t>
            </w:r>
            <w:r w:rsidR="00703EA6">
              <w:rPr>
                <w:rFonts w:cstheme="minorHAnsi"/>
                <w:bCs/>
                <w:sz w:val="18"/>
                <w:szCs w:val="18"/>
              </w:rPr>
              <w:t>Nie mniej jednak Beneficjent prowadzi</w:t>
            </w:r>
            <w:r w:rsidR="00C61A26">
              <w:rPr>
                <w:rFonts w:cstheme="minorHAnsi"/>
                <w:bCs/>
                <w:sz w:val="18"/>
                <w:szCs w:val="18"/>
              </w:rPr>
              <w:t xml:space="preserve"> działania informacyjno-promocyjne min.</w:t>
            </w:r>
            <w:r w:rsidR="00703EA6">
              <w:rPr>
                <w:rFonts w:cstheme="minorHAnsi"/>
                <w:bCs/>
                <w:sz w:val="18"/>
                <w:szCs w:val="18"/>
              </w:rPr>
              <w:t xml:space="preserve"> spotkania z klientami/przedsiębiorcami/technika aby zachęcać do jej wykorzystywania</w:t>
            </w:r>
            <w:r w:rsidR="0000462C">
              <w:rPr>
                <w:rFonts w:cstheme="minorHAnsi"/>
                <w:bCs/>
                <w:sz w:val="18"/>
                <w:szCs w:val="18"/>
              </w:rPr>
              <w:t>. Przygotowane zostały infografiki, filmy instrukta</w:t>
            </w:r>
            <w:r w:rsidR="00BD6FAD">
              <w:rPr>
                <w:rFonts w:cstheme="minorHAnsi"/>
                <w:bCs/>
                <w:sz w:val="18"/>
                <w:szCs w:val="18"/>
              </w:rPr>
              <w:t>ż</w:t>
            </w:r>
            <w:r w:rsidR="0000462C">
              <w:rPr>
                <w:rFonts w:cstheme="minorHAnsi"/>
                <w:bCs/>
                <w:sz w:val="18"/>
                <w:szCs w:val="18"/>
              </w:rPr>
              <w:t>owe, broszury informacyjne</w:t>
            </w:r>
            <w:r w:rsidR="00154BE7">
              <w:rPr>
                <w:rFonts w:cstheme="minorHAnsi"/>
                <w:bCs/>
                <w:sz w:val="18"/>
                <w:szCs w:val="18"/>
              </w:rPr>
              <w:t xml:space="preserve">, które w przyjazny sposób </w:t>
            </w:r>
            <w:r w:rsidR="004B5F6F">
              <w:rPr>
                <w:rFonts w:cstheme="minorHAnsi"/>
                <w:bCs/>
                <w:sz w:val="18"/>
                <w:szCs w:val="18"/>
              </w:rPr>
              <w:t xml:space="preserve">wspierają </w:t>
            </w:r>
            <w:r w:rsidR="00903229">
              <w:rPr>
                <w:rFonts w:cstheme="minorHAnsi"/>
                <w:bCs/>
                <w:sz w:val="18"/>
                <w:szCs w:val="18"/>
              </w:rPr>
              <w:t xml:space="preserve">użytkowników w wykorzystaniu Systemu. </w:t>
            </w:r>
          </w:p>
          <w:p w14:paraId="5FCA8866" w14:textId="6BC50BFB" w:rsidR="007A0A3D" w:rsidRPr="00A00C11" w:rsidRDefault="007A0A3D" w:rsidP="00A00C1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813FEF" w:rsidRPr="002450C4" w14:paraId="616622BD" w14:textId="77777777" w:rsidTr="006A60C6">
        <w:tc>
          <w:tcPr>
            <w:tcW w:w="437" w:type="dxa"/>
          </w:tcPr>
          <w:p w14:paraId="557309C7" w14:textId="49233B73" w:rsidR="00813FEF" w:rsidRPr="002450C4" w:rsidRDefault="00715D46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9.</w:t>
            </w:r>
          </w:p>
        </w:tc>
        <w:tc>
          <w:tcPr>
            <w:tcW w:w="1535" w:type="dxa"/>
          </w:tcPr>
          <w:p w14:paraId="394AF3D5" w14:textId="77777777" w:rsidR="00813FEF" w:rsidRPr="0092656E" w:rsidRDefault="009D3D41" w:rsidP="009D3D41">
            <w:pPr>
              <w:rPr>
                <w:sz w:val="18"/>
                <w:szCs w:val="20"/>
              </w:rPr>
            </w:pPr>
            <w:r w:rsidRPr="0092656E">
              <w:rPr>
                <w:sz w:val="18"/>
                <w:szCs w:val="20"/>
              </w:rPr>
              <w:t>U</w:t>
            </w:r>
            <w:r w:rsidR="00813FEF" w:rsidRPr="0092656E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8371" w:type="dxa"/>
          </w:tcPr>
          <w:p w14:paraId="170FA3A8" w14:textId="77777777" w:rsidR="00813FEF" w:rsidRDefault="00F7602D" w:rsidP="001C3DE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7602D">
              <w:rPr>
                <w:rFonts w:cstheme="minorHAnsi"/>
                <w:bCs/>
                <w:sz w:val="18"/>
                <w:szCs w:val="18"/>
              </w:rPr>
              <w:t>Korzyść z realizacji projektu odniosą wszystkie podmioty, które w ramach prowadzonej działalności gospodarczej wykazują potrzebę skorzystania z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usług administracji miar. Udostępnione e-usługi pozwolą na redukcję czasu kontaktu podmiotów z jednostkami administracji miar. Oszczędność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czasu przyczyni się również do zmniejszenia kosztów związanych z realizacją usługi zarówno po stronie administracji miar jak i po stronie klienta</w:t>
            </w:r>
            <w:r w:rsidR="001C3DEF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79C4A5B0" w14:textId="70612C94" w:rsidR="00102E1D" w:rsidRDefault="00B16C28" w:rsidP="00F4168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Uruchomi</w:t>
            </w:r>
            <w:r w:rsidR="00F41686">
              <w:rPr>
                <w:rFonts w:cstheme="minorHAnsi"/>
                <w:bCs/>
                <w:sz w:val="18"/>
                <w:szCs w:val="18"/>
              </w:rPr>
              <w:t>one</w:t>
            </w:r>
            <w:r w:rsidR="0079038A">
              <w:rPr>
                <w:rFonts w:cstheme="minorHAnsi"/>
                <w:bCs/>
                <w:sz w:val="18"/>
                <w:szCs w:val="18"/>
              </w:rPr>
              <w:t xml:space="preserve"> zostały</w:t>
            </w:r>
            <w:r w:rsidR="00F4168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16C28">
              <w:rPr>
                <w:rFonts w:cstheme="minorHAnsi"/>
                <w:bCs/>
                <w:sz w:val="18"/>
                <w:szCs w:val="18"/>
              </w:rPr>
              <w:t>wysokopoziomow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usług</w:t>
            </w:r>
            <w:r w:rsidR="00F41686">
              <w:rPr>
                <w:rFonts w:cstheme="minorHAnsi"/>
                <w:bCs/>
                <w:sz w:val="18"/>
                <w:szCs w:val="18"/>
              </w:rPr>
              <w:t>i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realizowan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przez instytucje administracji miar na rzecz klientów, przyczyniające się do</w:t>
            </w:r>
            <w:r w:rsidR="00F4168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41686">
              <w:rPr>
                <w:rFonts w:cstheme="minorHAnsi"/>
                <w:bCs/>
                <w:sz w:val="18"/>
                <w:szCs w:val="18"/>
              </w:rPr>
              <w:t>zmniejszenia formalności po stronie klienta. W ramach realizacji projektu powsta</w:t>
            </w:r>
            <w:r w:rsidR="00102E1D">
              <w:rPr>
                <w:rFonts w:cstheme="minorHAnsi"/>
                <w:bCs/>
                <w:sz w:val="18"/>
                <w:szCs w:val="18"/>
              </w:rPr>
              <w:t>ły</w:t>
            </w:r>
            <w:r w:rsidRPr="00F41686">
              <w:rPr>
                <w:rFonts w:cstheme="minorHAnsi"/>
                <w:bCs/>
                <w:sz w:val="18"/>
                <w:szCs w:val="18"/>
              </w:rPr>
              <w:t xml:space="preserve"> usługi typu A2B</w:t>
            </w:r>
            <w:r w:rsidR="00DA0D66">
              <w:rPr>
                <w:rFonts w:cstheme="minorHAnsi"/>
                <w:bCs/>
                <w:sz w:val="18"/>
                <w:szCs w:val="18"/>
              </w:rPr>
              <w:t xml:space="preserve"> i A2C</w:t>
            </w:r>
            <w:r w:rsidRPr="00F41686">
              <w:rPr>
                <w:rFonts w:cstheme="minorHAnsi"/>
                <w:bCs/>
                <w:sz w:val="18"/>
                <w:szCs w:val="18"/>
              </w:rPr>
              <w:t xml:space="preserve">; </w:t>
            </w:r>
          </w:p>
          <w:p w14:paraId="0E44C90B" w14:textId="764A7112" w:rsidR="00102E1D" w:rsidRDefault="0079038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Zm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>oderniz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 xml:space="preserve"> rejestr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 xml:space="preserve"> baz danych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prowadzonych przez GUM i </w:t>
            </w:r>
            <w:r>
              <w:rPr>
                <w:rFonts w:cstheme="minorHAnsi"/>
                <w:bCs/>
                <w:sz w:val="18"/>
                <w:szCs w:val="18"/>
              </w:rPr>
              <w:t>stworzono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 łatwiej</w:t>
            </w:r>
            <w:r>
              <w:rPr>
                <w:rFonts w:cstheme="minorHAnsi"/>
                <w:bCs/>
                <w:sz w:val="18"/>
                <w:szCs w:val="18"/>
              </w:rPr>
              <w:t>szy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 dostęp dla klientów; </w:t>
            </w:r>
          </w:p>
          <w:p w14:paraId="230BCADE" w14:textId="1403D96D" w:rsid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102E1D">
              <w:rPr>
                <w:rFonts w:cstheme="minorHAnsi"/>
                <w:bCs/>
                <w:sz w:val="18"/>
                <w:szCs w:val="18"/>
              </w:rPr>
              <w:t>Zwiększ</w:t>
            </w:r>
            <w:r w:rsidR="0079038A">
              <w:rPr>
                <w:rFonts w:cstheme="minorHAnsi"/>
                <w:bCs/>
                <w:sz w:val="18"/>
                <w:szCs w:val="18"/>
              </w:rPr>
              <w:t>ono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 kompetencj</w:t>
            </w:r>
            <w:r w:rsidR="0079038A">
              <w:rPr>
                <w:rFonts w:cstheme="minorHAnsi"/>
                <w:bCs/>
                <w:sz w:val="18"/>
                <w:szCs w:val="18"/>
              </w:rPr>
              <w:t>e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 pracowników urzędu poprzez ich przeszkolenie; </w:t>
            </w:r>
          </w:p>
          <w:p w14:paraId="67B38F00" w14:textId="7415060F" w:rsidR="00102E1D" w:rsidRP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lastRenderedPageBreak/>
              <w:t>Wdroż</w:t>
            </w:r>
            <w:r w:rsidR="0079038A">
              <w:rPr>
                <w:rFonts w:cstheme="minorHAnsi"/>
                <w:bCs/>
                <w:sz w:val="18"/>
                <w:szCs w:val="18"/>
              </w:rPr>
              <w:t>ono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nowoczesn</w:t>
            </w:r>
            <w:r w:rsidR="00CD1CCA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technologi</w:t>
            </w:r>
            <w:r w:rsidR="00CD1CCA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(systemu, oprogramowania i sprzętu komputerowego) wspomagających wykonywanie czynności urzędowych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przez pracowników administracji miar; </w:t>
            </w:r>
          </w:p>
          <w:p w14:paraId="302D51A7" w14:textId="11C92A99" w:rsidR="00102E1D" w:rsidRDefault="00B16C28" w:rsidP="00B16C2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Wdroż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>n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CD1CCA">
              <w:rPr>
                <w:rFonts w:cstheme="minorHAnsi"/>
                <w:bCs/>
                <w:sz w:val="18"/>
                <w:szCs w:val="18"/>
              </w:rPr>
              <w:t>ą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wymian</w:t>
            </w:r>
            <w:r w:rsidR="00CD1CCA">
              <w:rPr>
                <w:rFonts w:cstheme="minorHAnsi"/>
                <w:bCs/>
                <w:sz w:val="18"/>
                <w:szCs w:val="18"/>
              </w:rPr>
              <w:t>ę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dokumentów pomiędzy Urzędem a Klientem; </w:t>
            </w:r>
          </w:p>
          <w:p w14:paraId="6CEF440F" w14:textId="1E5503A7" w:rsidR="00102E1D" w:rsidRPr="00102E1D" w:rsidRDefault="00CD1CC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>ptymaliz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proces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płatności za usługi poprzez wdrożenie funkcji elektronicznych płatności; </w:t>
            </w:r>
          </w:p>
          <w:p w14:paraId="0B23C845" w14:textId="02F061D4" w:rsidR="00102E1D" w:rsidRP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Zastosowan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CD1CCA">
              <w:rPr>
                <w:rFonts w:cstheme="minorHAnsi"/>
                <w:bCs/>
                <w:sz w:val="18"/>
                <w:szCs w:val="18"/>
              </w:rPr>
              <w:t>ą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form</w:t>
            </w:r>
            <w:r w:rsidR="00CD1CCA">
              <w:rPr>
                <w:rFonts w:cstheme="minorHAnsi"/>
                <w:bCs/>
                <w:sz w:val="18"/>
                <w:szCs w:val="18"/>
              </w:rPr>
              <w:t>ę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uwierzytelniania Klientów w ramach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realizacji spraw; </w:t>
            </w:r>
          </w:p>
          <w:p w14:paraId="57D260E8" w14:textId="77777777" w:rsidR="00B16C28" w:rsidRDefault="00CD1CC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Zr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>eduk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koszt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po stronie Urzędu i Klienta wynikająca z wdrożenia elektronicznych usług świadczonych przez administrację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>miar</w:t>
            </w:r>
          </w:p>
          <w:p w14:paraId="358B43D5" w14:textId="77777777" w:rsidR="00231296" w:rsidRDefault="00231296" w:rsidP="00231296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</w:p>
          <w:p w14:paraId="4EC7C890" w14:textId="3225B98B" w:rsidR="006C2259" w:rsidRPr="00231296" w:rsidRDefault="00757676" w:rsidP="0006132D">
            <w:pPr>
              <w:pStyle w:val="Tekstpodstawowy2"/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757676">
              <w:rPr>
                <w:rFonts w:cstheme="minorHAnsi"/>
                <w:bCs/>
                <w:sz w:val="18"/>
                <w:szCs w:val="18"/>
              </w:rPr>
              <w:t xml:space="preserve">Na dzień złożenia raportu nie zidentyfikowano rozbieżności w zakresie osiągniętych I oczekiwanych korzyści w stosunku do ich pierwotnie planowanego zestawu. Zapisy porozumienia o dofinansowanie projektu nie obejmowały obowiązku i zasad monitorowania stopnia osiągnięcia wyżej wymienionych korzyści poza </w:t>
            </w:r>
            <w:r w:rsidR="00A85451">
              <w:rPr>
                <w:rFonts w:cstheme="minorHAnsi"/>
                <w:bCs/>
                <w:sz w:val="18"/>
                <w:szCs w:val="18"/>
              </w:rPr>
              <w:t>w</w:t>
            </w:r>
            <w:r w:rsidRPr="00757676">
              <w:rPr>
                <w:rFonts w:cstheme="minorHAnsi"/>
                <w:bCs/>
                <w:sz w:val="18"/>
                <w:szCs w:val="18"/>
              </w:rPr>
              <w:t xml:space="preserve">w. </w:t>
            </w:r>
            <w:r w:rsidR="00A85451" w:rsidRPr="00757676">
              <w:rPr>
                <w:rFonts w:cstheme="minorHAnsi"/>
                <w:bCs/>
                <w:sz w:val="18"/>
                <w:szCs w:val="18"/>
              </w:rPr>
              <w:t>W</w:t>
            </w:r>
            <w:r w:rsidRPr="00757676">
              <w:rPr>
                <w:rFonts w:cstheme="minorHAnsi"/>
                <w:bCs/>
                <w:sz w:val="18"/>
                <w:szCs w:val="18"/>
              </w:rPr>
              <w:t>skaźnikami</w:t>
            </w:r>
            <w:r w:rsidR="00A85451">
              <w:rPr>
                <w:rFonts w:cstheme="minorHAnsi"/>
                <w:bCs/>
                <w:sz w:val="18"/>
                <w:szCs w:val="18"/>
              </w:rPr>
              <w:t>.</w:t>
            </w:r>
          </w:p>
        </w:tc>
      </w:tr>
      <w:tr w:rsidR="00F82254" w:rsidRPr="002450C4" w14:paraId="79C10364" w14:textId="77777777" w:rsidTr="006A60C6">
        <w:tc>
          <w:tcPr>
            <w:tcW w:w="437" w:type="dxa"/>
          </w:tcPr>
          <w:p w14:paraId="264F921D" w14:textId="37B9CE46" w:rsidR="00F82254" w:rsidRPr="002450C4" w:rsidRDefault="00715D46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10.</w:t>
            </w:r>
          </w:p>
        </w:tc>
        <w:tc>
          <w:tcPr>
            <w:tcW w:w="1535" w:type="dxa"/>
          </w:tcPr>
          <w:p w14:paraId="55A53A20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8371" w:type="dxa"/>
          </w:tcPr>
          <w:p w14:paraId="72B42C78" w14:textId="1D37D9A3" w:rsidR="00921733" w:rsidRDefault="00054456" w:rsidP="00921733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publiczne (typu A2B</w:t>
            </w:r>
            <w:r w:rsidR="007D039E">
              <w:rPr>
                <w:rFonts w:cstheme="minorHAnsi"/>
                <w:sz w:val="18"/>
                <w:szCs w:val="18"/>
              </w:rPr>
              <w:t>)</w:t>
            </w:r>
            <w:r w:rsidR="006D1412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System </w:t>
            </w:r>
            <w:r w:rsidR="00921733">
              <w:rPr>
                <w:rFonts w:cstheme="minorHAnsi"/>
                <w:sz w:val="18"/>
                <w:szCs w:val="18"/>
              </w:rPr>
              <w:t>jest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 powiązany docelowo z następującymi zewnętrznymi systemami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>teleinformatycznymi, przygotowywanymi do realizacji w ramach PZIP: Portal RP – w zakresie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prezentacji informacji o Urzędzie i usługach dostępnych; </w:t>
            </w:r>
          </w:p>
          <w:p w14:paraId="4103CDFD" w14:textId="4A022991" w:rsidR="00395AFB" w:rsidRDefault="00395AFB" w:rsidP="00921733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9"/>
              <w:gridCol w:w="2222"/>
              <w:gridCol w:w="3637"/>
            </w:tblGrid>
            <w:tr w:rsidR="00B26832" w:rsidRPr="00EE3233" w14:paraId="3B09314D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CE6864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Typ połączenia</w:t>
                  </w:r>
                </w:p>
              </w:tc>
              <w:tc>
                <w:tcPr>
                  <w:tcW w:w="2222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8773E8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Nazwa systemu</w:t>
                  </w:r>
                </w:p>
              </w:tc>
              <w:tc>
                <w:tcPr>
                  <w:tcW w:w="3637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76723B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Opis</w:t>
                  </w:r>
                </w:p>
              </w:tc>
            </w:tr>
            <w:tr w:rsidR="00B26832" w:rsidRPr="00EE3233" w14:paraId="35341355" w14:textId="77777777" w:rsidTr="00562C2D">
              <w:trPr>
                <w:trHeight w:val="673"/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B53814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Dostępne opcje: System przesyła dane do; System otrzymuje dane od; System używa.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3540B1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FF8F95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Zakres współpracy między systemami. Jeżeli przesyła dane to opis tych danych na poziomie encji (np. dane ubezpieczonego, dane samochodu, informacja czy osoba żyje) jeżeli system korzysta z innego systemu w innym celu niż wymiana danych biznesowych, to wskazanie celu (np. uwierzytelnienie użytkowników).</w:t>
                  </w:r>
                </w:p>
              </w:tc>
            </w:tr>
            <w:tr w:rsidR="005269A2" w:rsidRPr="00EE3233" w14:paraId="2DCDE403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D6734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123F7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TERYT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1A9B8B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Walidacja właściwości miejscowej zgłaszającego na podstawie wybranej miejscowości.</w:t>
                  </w:r>
                </w:p>
              </w:tc>
            </w:tr>
            <w:tr w:rsidR="005269A2" w:rsidRPr="00EE3233" w14:paraId="0BD16157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B109A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CB245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REGON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3E79BF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Walidacja danych firmy zgłaszającego oraz umocowania osoby reprezentującej firmę zgłaszającego.</w:t>
                  </w:r>
                </w:p>
              </w:tc>
            </w:tr>
            <w:tr w:rsidR="005269A2" w:rsidRPr="00EE3233" w14:paraId="69DACE73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900EF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9BC539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ePUAP</w:t>
                  </w:r>
                  <w:proofErr w:type="spellEnd"/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E9CFF0" w14:textId="2032726F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Przekazywanie </w:t>
                  </w:r>
                  <w:r w:rsidR="00562C2D">
                    <w:rPr>
                      <w:rFonts w:ascii="Calibri" w:hAnsi="Calibri" w:cs="Calibri"/>
                      <w:lang w:val="pl-PL"/>
                    </w:rPr>
                    <w:t xml:space="preserve">i wysyłanie </w:t>
                  </w:r>
                  <w:r w:rsidRPr="00EE3233">
                    <w:rPr>
                      <w:rFonts w:ascii="Calibri" w:hAnsi="Calibri" w:cs="Calibri"/>
                      <w:lang w:val="pl-PL"/>
                    </w:rPr>
                    <w:t>za pośrednictwem platformy dokumentacji z części EZD systemu na portal klienta z zapewnieniem funkcjonalności UPP i UPD.</w:t>
                  </w:r>
                </w:p>
              </w:tc>
            </w:tr>
            <w:tr w:rsidR="00562C2D" w:rsidRPr="00EE3233" w14:paraId="02290C38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31A591" w14:textId="0591098A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A9824B" w14:textId="1218D867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PZ (Węzeł Krajowy)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F8502F" w14:textId="563F16EE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Uwierzytelnianie tożsamości wnioskodawców przy logowaniu i podpisywaniu dokumentów profilem zaufanym lub certyfikowanym podpisem kwalifikowanym.</w:t>
                  </w:r>
                </w:p>
              </w:tc>
            </w:tr>
            <w:tr w:rsidR="00562C2D" w:rsidRPr="00EE3233" w14:paraId="53E7E494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2F0EB0" w14:textId="682726D4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53218C" w14:textId="22375882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KIR </w:t>
                  </w: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PayByNet</w:t>
                  </w:r>
                  <w:proofErr w:type="spellEnd"/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(e-płatności)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3AC6C2" w14:textId="2068BE6C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Potwierdzenie uiszczenia opłaty za wykonaną usługę przez klienta.</w:t>
                  </w:r>
                </w:p>
              </w:tc>
            </w:tr>
            <w:tr w:rsidR="00562C2D" w:rsidRPr="00EE3233" w14:paraId="00277A63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38F562" w14:textId="4BA626E3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2A6E7E" w14:textId="5802901D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CEIDG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DDB2F7" w14:textId="6C41ACBC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P</w:t>
                  </w:r>
                  <w:r w:rsidRPr="00791819">
                    <w:rPr>
                      <w:rFonts w:ascii="Calibri" w:hAnsi="Calibri" w:cs="Calibri"/>
                      <w:lang w:val="pl-PL"/>
                    </w:rPr>
                    <w:t>obierania publicznych danych o</w:t>
                  </w:r>
                  <w:r>
                    <w:rPr>
                      <w:rFonts w:ascii="Calibri" w:hAnsi="Calibri" w:cs="Calibri"/>
                      <w:lang w:val="pl-PL"/>
                    </w:rPr>
                    <w:t xml:space="preserve"> </w:t>
                  </w:r>
                  <w:r w:rsidRPr="00791819">
                    <w:rPr>
                      <w:rFonts w:ascii="Calibri" w:hAnsi="Calibri" w:cs="Calibri"/>
                      <w:lang w:val="pl-PL"/>
                    </w:rPr>
                    <w:t>działalnościach gospodarczych oraz przekazania danych o uprawnieniach warsztatów tachografów</w:t>
                  </w:r>
                </w:p>
              </w:tc>
            </w:tr>
            <w:tr w:rsidR="00562C2D" w:rsidRPr="00EE3233" w14:paraId="06F9072E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8ED47A" w14:textId="62322A63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79FBC0" w14:textId="0BA43A77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PZ (Węzeł Krajowy)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BBDC24" w14:textId="257DCB93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zapytań w celu uwierzytelnienia tożsamości wnioskodawców przy logowaniu i podpisywaniu dokumentów profilem zaufanym lub certyfikowanym podpisem kwalifikowanym.</w:t>
                  </w:r>
                </w:p>
              </w:tc>
            </w:tr>
            <w:tr w:rsidR="00562C2D" w:rsidRPr="00EE3233" w14:paraId="13339A8C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9528BC" w14:textId="6663EC5C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48708A" w14:textId="280AA378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SMS API (Orange)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123978" w14:textId="6B7E2B18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informacji na temat predefiniowanych oraz zdefiniowanych zdarzeń w systemie na podany przez klienta numer telefonu.</w:t>
                  </w:r>
                </w:p>
              </w:tc>
            </w:tr>
            <w:tr w:rsidR="00562C2D" w:rsidRPr="00EE3233" w14:paraId="088FDCA8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BC9A31" w14:textId="080C051C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lastRenderedPageBreak/>
                    <w:t>System przesyła dane do</w:t>
                  </w:r>
                </w:p>
              </w:tc>
              <w:tc>
                <w:tcPr>
                  <w:tcW w:w="22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741F86" w14:textId="5C038B86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KIR </w:t>
                  </w: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PayByNet</w:t>
                  </w:r>
                  <w:proofErr w:type="spellEnd"/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(e-płatności)</w:t>
                  </w:r>
                </w:p>
              </w:tc>
              <w:tc>
                <w:tcPr>
                  <w:tcW w:w="36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EA035E" w14:textId="6A11C1A7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Przekierowanie z systemu na zewnętrzną platformę płatności elektronicznych wraz z przekazaniem informacji dotyczących właściwego urzędu terenowego, na którego konto ma zostać uiszczona płatność, tytułu płatności oraz jej kwoty.</w:t>
                  </w:r>
                </w:p>
              </w:tc>
            </w:tr>
            <w:tr w:rsidR="00562C2D" w:rsidRPr="00EE3233" w14:paraId="05DE7AC5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10D2A7" w14:textId="7AA1499C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</w:t>
                  </w:r>
                  <w:r>
                    <w:rPr>
                      <w:rFonts w:ascii="Calibri" w:hAnsi="Calibri" w:cs="Calibri"/>
                      <w:lang w:val="pl-PL"/>
                    </w:rPr>
                    <w:t xml:space="preserve"> pobiera</w:t>
                  </w: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dane </w:t>
                  </w:r>
                  <w:r>
                    <w:rPr>
                      <w:rFonts w:ascii="Calibri" w:hAnsi="Calibri" w:cs="Calibri"/>
                      <w:lang w:val="pl-PL"/>
                    </w:rPr>
                    <w:t>od</w:t>
                  </w:r>
                </w:p>
              </w:tc>
              <w:tc>
                <w:tcPr>
                  <w:tcW w:w="22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6E1E4C" w14:textId="2EED8267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KREPTD</w:t>
                  </w: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8D03FA" w14:textId="5626F278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W</w:t>
                  </w:r>
                  <w:r w:rsidRPr="002B12A7">
                    <w:rPr>
                      <w:rFonts w:ascii="Calibri" w:hAnsi="Calibri" w:cs="Calibri"/>
                      <w:lang w:val="pl-PL"/>
                    </w:rPr>
                    <w:t>eryfikacj</w:t>
                  </w:r>
                  <w:r>
                    <w:rPr>
                      <w:rFonts w:ascii="Calibri" w:hAnsi="Calibri" w:cs="Calibri"/>
                      <w:lang w:val="pl-PL"/>
                    </w:rPr>
                    <w:t>a</w:t>
                  </w:r>
                  <w:r w:rsidRPr="002B12A7">
                    <w:rPr>
                      <w:rFonts w:ascii="Calibri" w:hAnsi="Calibri" w:cs="Calibri"/>
                      <w:lang w:val="pl-PL"/>
                    </w:rPr>
                    <w:t xml:space="preserve"> danych Użytkownika zewnętrznego pod kątem posiadania zezwolenia na wykonywanie zawodu przewoźnika drogowego.</w:t>
                  </w:r>
                </w:p>
              </w:tc>
            </w:tr>
            <w:tr w:rsidR="00562C2D" w:rsidRPr="00EE3233" w14:paraId="04E233A3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494B82" w14:textId="7B2742C3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</w:t>
                  </w:r>
                  <w:r>
                    <w:rPr>
                      <w:rFonts w:ascii="Calibri" w:hAnsi="Calibri" w:cs="Calibri"/>
                      <w:lang w:val="pl-PL"/>
                    </w:rPr>
                    <w:t xml:space="preserve"> pobiera</w:t>
                  </w: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dane </w:t>
                  </w:r>
                  <w:r>
                    <w:rPr>
                      <w:rFonts w:ascii="Calibri" w:hAnsi="Calibri" w:cs="Calibri"/>
                      <w:lang w:val="pl-PL"/>
                    </w:rPr>
                    <w:t>od</w:t>
                  </w:r>
                </w:p>
              </w:tc>
              <w:tc>
                <w:tcPr>
                  <w:tcW w:w="22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7E29C02" w14:textId="280C2E78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KRS</w:t>
                  </w: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87D423" w14:textId="46B7BE10" w:rsidR="00562C2D" w:rsidRPr="00EE3233" w:rsidRDefault="00562C2D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6A78AD">
                    <w:rPr>
                      <w:rFonts w:ascii="Calibri" w:hAnsi="Calibri" w:cs="Calibri"/>
                      <w:lang w:val="pl-PL"/>
                    </w:rPr>
                    <w:t>System pobiera dane o podmiocie z rejestru stowarzyszeń i przedsiębiorców prowadzonych przez KRS</w:t>
                  </w:r>
                  <w:r>
                    <w:rPr>
                      <w:rFonts w:ascii="Calibri" w:hAnsi="Calibri" w:cs="Calibri"/>
                      <w:lang w:val="pl-PL"/>
                    </w:rPr>
                    <w:t>.</w:t>
                  </w:r>
                </w:p>
              </w:tc>
            </w:tr>
            <w:tr w:rsidR="00562C2D" w:rsidRPr="00EE3233" w14:paraId="744FBF08" w14:textId="77777777" w:rsidTr="00562C2D">
              <w:trPr>
                <w:jc w:val="center"/>
              </w:trPr>
              <w:tc>
                <w:tcPr>
                  <w:tcW w:w="2309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FDD659" w14:textId="02CE81C7" w:rsidR="00562C2D" w:rsidRPr="00EE3233" w:rsidRDefault="00E63149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14D465" w14:textId="17302938" w:rsidR="00562C2D" w:rsidRDefault="00E63149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STC PWPW</w:t>
                  </w: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50C25" w14:textId="04529861" w:rsidR="00562C2D" w:rsidRPr="00FA6F79" w:rsidRDefault="00FA6F79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P</w:t>
                  </w:r>
                  <w:r w:rsidRPr="00FA6F79">
                    <w:rPr>
                      <w:rFonts w:ascii="Calibri" w:hAnsi="Calibri" w:cs="Calibri"/>
                      <w:lang w:val="pl-PL"/>
                    </w:rPr>
                    <w:t>rzekazanie danych dotyczących statusu techników warsztatów i podmiotów ich zatrudniających, a także informacje o wydanych decyzjach w obszarze tachografów zgodnie z ustawą o tachografach</w:t>
                  </w:r>
                  <w:r>
                    <w:rPr>
                      <w:rFonts w:ascii="Calibri" w:hAnsi="Calibri" w:cs="Calibri"/>
                      <w:lang w:val="pl-PL"/>
                    </w:rPr>
                    <w:t>.</w:t>
                  </w:r>
                </w:p>
              </w:tc>
            </w:tr>
            <w:tr w:rsidR="00562C2D" w:rsidRPr="00EE3233" w14:paraId="367FF50F" w14:textId="77777777" w:rsidTr="00B95D61">
              <w:trPr>
                <w:jc w:val="center"/>
              </w:trPr>
              <w:tc>
                <w:tcPr>
                  <w:tcW w:w="2309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5FBBE8" w14:textId="48E2A656" w:rsidR="00562C2D" w:rsidRPr="00EE3233" w:rsidRDefault="00FA6F79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</w:t>
                  </w:r>
                  <w:r>
                    <w:rPr>
                      <w:rFonts w:ascii="Calibri" w:hAnsi="Calibri" w:cs="Calibri"/>
                      <w:lang w:val="pl-PL"/>
                    </w:rPr>
                    <w:t xml:space="preserve"> pobiera</w:t>
                  </w: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dane </w:t>
                  </w:r>
                  <w:r>
                    <w:rPr>
                      <w:rFonts w:ascii="Calibri" w:hAnsi="Calibri" w:cs="Calibri"/>
                      <w:lang w:val="pl-PL"/>
                    </w:rPr>
                    <w:t>od</w:t>
                  </w:r>
                </w:p>
              </w:tc>
              <w:tc>
                <w:tcPr>
                  <w:tcW w:w="22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B88FF7" w14:textId="2858323A" w:rsidR="00562C2D" w:rsidRDefault="00FA6F79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STC PWPW</w:t>
                  </w:r>
                </w:p>
              </w:tc>
              <w:tc>
                <w:tcPr>
                  <w:tcW w:w="3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77EB04" w14:textId="32E8F3C2" w:rsidR="00562C2D" w:rsidRPr="004E3378" w:rsidRDefault="004E3378" w:rsidP="00B2683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P</w:t>
                  </w:r>
                  <w:r w:rsidRPr="004E3378">
                    <w:rPr>
                      <w:rFonts w:ascii="Calibri" w:hAnsi="Calibri" w:cs="Calibri"/>
                      <w:lang w:val="pl-PL"/>
                    </w:rPr>
                    <w:t>obranie aktualnych danych związanych z wystawionymi kartami warsztatowymi technika warsztatu.</w:t>
                  </w:r>
                </w:p>
              </w:tc>
            </w:tr>
          </w:tbl>
          <w:p w14:paraId="121EF969" w14:textId="0AD16F7E" w:rsidR="00075782" w:rsidRDefault="00075782" w:rsidP="00075782">
            <w:pPr>
              <w:pStyle w:val="Tekstpodstawowy"/>
              <w:rPr>
                <w:highlight w:val="yellow"/>
              </w:rPr>
            </w:pPr>
          </w:p>
          <w:p w14:paraId="0EE5393C" w14:textId="77777777" w:rsidR="005269A2" w:rsidRDefault="005269A2" w:rsidP="00075782">
            <w:pPr>
              <w:pStyle w:val="Tekstpodstawowy"/>
              <w:rPr>
                <w:highlight w:val="yellow"/>
              </w:rPr>
            </w:pPr>
          </w:p>
          <w:p w14:paraId="11836B88" w14:textId="4952F747" w:rsidR="005269A2" w:rsidRPr="00856931" w:rsidRDefault="005269A2" w:rsidP="00075782">
            <w:pPr>
              <w:pStyle w:val="Tekstpodstawowy"/>
              <w:rPr>
                <w:highlight w:val="yellow"/>
              </w:rPr>
            </w:pPr>
          </w:p>
        </w:tc>
      </w:tr>
      <w:tr w:rsidR="007C54F9" w:rsidRPr="002450C4" w14:paraId="1092C76D" w14:textId="77777777" w:rsidTr="006A60C6">
        <w:tc>
          <w:tcPr>
            <w:tcW w:w="437" w:type="dxa"/>
          </w:tcPr>
          <w:p w14:paraId="7CABFC00" w14:textId="7D4054CA" w:rsidR="007C54F9" w:rsidRPr="002C072E" w:rsidRDefault="00715D46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11.</w:t>
            </w:r>
          </w:p>
        </w:tc>
        <w:tc>
          <w:tcPr>
            <w:tcW w:w="1535" w:type="dxa"/>
          </w:tcPr>
          <w:p w14:paraId="6CEF82C2" w14:textId="77777777" w:rsidR="007C54F9" w:rsidRPr="002C072E" w:rsidRDefault="003B7BD6" w:rsidP="007C54F9">
            <w:pPr>
              <w:rPr>
                <w:sz w:val="18"/>
                <w:szCs w:val="20"/>
              </w:rPr>
            </w:pPr>
            <w:r w:rsidRPr="002C072E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371" w:type="dxa"/>
          </w:tcPr>
          <w:p w14:paraId="3B7848EF" w14:textId="08AB7034" w:rsidR="007C54F9" w:rsidRPr="00C33C18" w:rsidRDefault="00FA5315" w:rsidP="002C072E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Beneficjent </w:t>
            </w:r>
            <w:r w:rsidR="00BB51C1">
              <w:rPr>
                <w:rFonts w:cstheme="minorHAnsi"/>
                <w:bCs/>
                <w:sz w:val="18"/>
                <w:szCs w:val="18"/>
              </w:rPr>
              <w:t>ustalił m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odel utrzymania w okresie </w:t>
            </w:r>
            <w:r w:rsidR="00651B1D">
              <w:rPr>
                <w:rFonts w:cstheme="minorHAnsi"/>
                <w:bCs/>
                <w:sz w:val="18"/>
                <w:szCs w:val="18"/>
              </w:rPr>
              <w:t>trwałości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na </w:t>
            </w:r>
            <w:r w:rsidR="00651B1D">
              <w:rPr>
                <w:rFonts w:cstheme="minorHAnsi"/>
                <w:bCs/>
                <w:sz w:val="18"/>
                <w:szCs w:val="18"/>
              </w:rPr>
              <w:t>tym samym poziomie co podczas wdrożenia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projektu </w:t>
            </w:r>
            <w:r w:rsidRPr="00FA5315">
              <w:rPr>
                <w:rFonts w:cstheme="minorHAnsi"/>
                <w:bCs/>
                <w:sz w:val="18"/>
                <w:szCs w:val="18"/>
              </w:rPr>
              <w:t>„</w:t>
            </w:r>
            <w:r w:rsidR="00DE7593">
              <w:rPr>
                <w:rFonts w:cstheme="minorHAnsi"/>
                <w:bCs/>
                <w:sz w:val="18"/>
                <w:szCs w:val="18"/>
              </w:rPr>
              <w:t>TRANS-TACHO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”. 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Powyższe wskazuje, że </w:t>
            </w:r>
            <w:r w:rsidRPr="00FA5315">
              <w:rPr>
                <w:rFonts w:cstheme="minorHAnsi"/>
                <w:bCs/>
                <w:sz w:val="18"/>
                <w:szCs w:val="18"/>
              </w:rPr>
              <w:t>w ramach budżetu GUM przewiduje się systematyczne podnoszenie kwalifikacji administratorów systemu przede wszystkim</w:t>
            </w:r>
            <w:r w:rsidR="00CC58B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poprzez szkolenia zewnętrzne (w formie tradycyjnej, jak również w formie zdalnej, np. webinariów). Dla użytkowników Systemu </w:t>
            </w:r>
            <w:r w:rsidR="00512445">
              <w:rPr>
                <w:rFonts w:cstheme="minorHAnsi"/>
                <w:bCs/>
                <w:sz w:val="18"/>
                <w:szCs w:val="18"/>
              </w:rPr>
              <w:t>TRANS-TACHO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E6657">
              <w:rPr>
                <w:rFonts w:cstheme="minorHAnsi"/>
                <w:bCs/>
                <w:sz w:val="18"/>
                <w:szCs w:val="18"/>
              </w:rPr>
              <w:t>będą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przygotowywan</w:t>
            </w:r>
            <w:r w:rsidR="008E665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cykliczn</w:t>
            </w:r>
            <w:r w:rsidR="008E665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szkole</w:t>
            </w:r>
            <w:r w:rsidR="008E6657">
              <w:rPr>
                <w:rFonts w:cstheme="minorHAnsi"/>
                <w:bCs/>
                <w:sz w:val="18"/>
                <w:szCs w:val="18"/>
              </w:rPr>
              <w:t>nia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z wykorzystaniem dostarczonych kursów e-learningowych. </w:t>
            </w:r>
            <w:r w:rsidR="008E6657">
              <w:rPr>
                <w:rFonts w:cstheme="minorHAnsi"/>
                <w:bCs/>
                <w:sz w:val="18"/>
                <w:szCs w:val="18"/>
              </w:rPr>
              <w:t>W</w:t>
            </w:r>
            <w:r w:rsidR="00986B78">
              <w:rPr>
                <w:rFonts w:cstheme="minorHAnsi"/>
                <w:bCs/>
                <w:sz w:val="18"/>
                <w:szCs w:val="18"/>
              </w:rPr>
              <w:t>arto zwrócić uwagę, że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Wykonawca Systemu przeszkoli</w:t>
            </w:r>
            <w:r w:rsidR="00986B78">
              <w:rPr>
                <w:rFonts w:cstheme="minorHAnsi"/>
                <w:bCs/>
                <w:sz w:val="18"/>
                <w:szCs w:val="18"/>
              </w:rPr>
              <w:t>ł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administratorów Systemu z jego obsługi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. Powyższe dało gwarancję posiadania przez tych pracowników </w:t>
            </w:r>
            <w:r w:rsidRPr="00FA5315">
              <w:rPr>
                <w:rFonts w:cstheme="minorHAnsi"/>
                <w:bCs/>
                <w:sz w:val="18"/>
                <w:szCs w:val="18"/>
              </w:rPr>
              <w:t>wiedz</w:t>
            </w:r>
            <w:r w:rsidR="00986B78">
              <w:rPr>
                <w:rFonts w:cstheme="minorHAnsi"/>
                <w:bCs/>
                <w:sz w:val="18"/>
                <w:szCs w:val="18"/>
              </w:rPr>
              <w:t>y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i zdolności do zapewnienia profesjonalnego wsparcia dla użytkowników Systemu,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zarówno wewnątrz GUM jak i Klientów zewnętrznych. Na potrzeby wdrożonego systemu </w:t>
            </w:r>
            <w:r w:rsidR="00986B78">
              <w:rPr>
                <w:rFonts w:cstheme="minorHAnsi"/>
                <w:bCs/>
                <w:sz w:val="18"/>
                <w:szCs w:val="18"/>
              </w:rPr>
              <w:t>wdrożono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również udzielanie informacji i wsparcia dla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uruchomionych e-usług: zarówno poprzez bieżące wsparcie (</w:t>
            </w:r>
            <w:proofErr w:type="spellStart"/>
            <w:r w:rsidRPr="00FA5315">
              <w:rPr>
                <w:rFonts w:cstheme="minorHAnsi"/>
                <w:bCs/>
                <w:sz w:val="18"/>
                <w:szCs w:val="18"/>
              </w:rPr>
              <w:t>help</w:t>
            </w:r>
            <w:proofErr w:type="spellEnd"/>
            <w:r w:rsidRPr="00FA5315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FA5315">
              <w:rPr>
                <w:rFonts w:cstheme="minorHAnsi"/>
                <w:bCs/>
                <w:sz w:val="18"/>
                <w:szCs w:val="18"/>
              </w:rPr>
              <w:t>desk</w:t>
            </w:r>
            <w:proofErr w:type="spellEnd"/>
            <w:r w:rsidRPr="00FA5315">
              <w:rPr>
                <w:rFonts w:cstheme="minorHAnsi"/>
                <w:bCs/>
                <w:sz w:val="18"/>
                <w:szCs w:val="18"/>
              </w:rPr>
              <w:t>) ich użytkowników</w:t>
            </w:r>
            <w:r w:rsidR="000341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i pomoc techniczną</w:t>
            </w:r>
            <w:r w:rsidR="00034199">
              <w:rPr>
                <w:rFonts w:cstheme="minorHAnsi"/>
                <w:bCs/>
                <w:sz w:val="18"/>
                <w:szCs w:val="18"/>
              </w:rPr>
              <w:t xml:space="preserve">. Powyższe dzieje się za pomocą dedykowanego zespołu </w:t>
            </w:r>
            <w:proofErr w:type="spellStart"/>
            <w:r w:rsidR="00034199">
              <w:rPr>
                <w:rFonts w:cstheme="minorHAnsi"/>
                <w:bCs/>
                <w:sz w:val="18"/>
                <w:szCs w:val="18"/>
              </w:rPr>
              <w:t>wsparciowego</w:t>
            </w:r>
            <w:proofErr w:type="spellEnd"/>
            <w:r w:rsidR="00034199">
              <w:rPr>
                <w:rFonts w:cstheme="minorHAnsi"/>
                <w:bCs/>
                <w:sz w:val="18"/>
                <w:szCs w:val="18"/>
              </w:rPr>
              <w:t xml:space="preserve"> wewnątrz struktur Beneficjenta jak i po stronie </w:t>
            </w:r>
            <w:r w:rsidR="00760240">
              <w:rPr>
                <w:rFonts w:cstheme="minorHAnsi"/>
                <w:bCs/>
                <w:sz w:val="18"/>
                <w:szCs w:val="18"/>
              </w:rPr>
              <w:t>tożsamego zespołu Wykonawcy.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760240">
              <w:rPr>
                <w:rFonts w:cstheme="minorHAnsi"/>
                <w:bCs/>
                <w:sz w:val="18"/>
                <w:szCs w:val="18"/>
              </w:rPr>
              <w:t xml:space="preserve">Beneficjent korzysta z systemu </w:t>
            </w:r>
            <w:r w:rsidR="001660A8">
              <w:rPr>
                <w:rFonts w:cstheme="minorHAnsi"/>
                <w:bCs/>
                <w:sz w:val="18"/>
                <w:szCs w:val="18"/>
              </w:rPr>
              <w:t xml:space="preserve">zgłoszeniowego </w:t>
            </w:r>
            <w:r w:rsidR="00F8040F">
              <w:rPr>
                <w:rFonts w:cstheme="minorHAnsi"/>
                <w:bCs/>
                <w:sz w:val="18"/>
                <w:szCs w:val="18"/>
              </w:rPr>
              <w:t>REDMINE</w:t>
            </w:r>
            <w:r w:rsidR="001660A8">
              <w:rPr>
                <w:rFonts w:cstheme="minorHAnsi"/>
                <w:bCs/>
                <w:sz w:val="18"/>
                <w:szCs w:val="18"/>
              </w:rPr>
              <w:t xml:space="preserve"> gdzie raportuje błędy i 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usprawnienia a </w:t>
            </w:r>
            <w:r w:rsidRPr="00FA5315">
              <w:rPr>
                <w:rFonts w:cstheme="minorHAnsi"/>
                <w:bCs/>
                <w:sz w:val="18"/>
                <w:szCs w:val="18"/>
              </w:rPr>
              <w:t>także rejestr</w:t>
            </w:r>
            <w:r w:rsidR="00051047">
              <w:rPr>
                <w:rFonts w:cstheme="minorHAnsi"/>
                <w:bCs/>
                <w:sz w:val="18"/>
                <w:szCs w:val="18"/>
              </w:rPr>
              <w:t>uje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ewentualn</w:t>
            </w:r>
            <w:r w:rsidR="0005104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uwagi 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oraz </w:t>
            </w:r>
            <w:r w:rsidRPr="00FA5315">
              <w:rPr>
                <w:rFonts w:cstheme="minorHAnsi"/>
                <w:bCs/>
                <w:sz w:val="18"/>
                <w:szCs w:val="18"/>
              </w:rPr>
              <w:t>sugestii użytkowników.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 Powyższe jest przekierowywane do Wykonawcy w celu </w:t>
            </w:r>
            <w:r w:rsidR="002C072E">
              <w:rPr>
                <w:rFonts w:cstheme="minorHAnsi"/>
                <w:bCs/>
                <w:sz w:val="18"/>
                <w:szCs w:val="18"/>
              </w:rPr>
              <w:t>wdrożenia zmian do Systemu.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Dodatkowo, użytkownikom </w:t>
            </w:r>
            <w:r w:rsidR="002C072E">
              <w:rPr>
                <w:rFonts w:cstheme="minorHAnsi"/>
                <w:bCs/>
                <w:sz w:val="18"/>
                <w:szCs w:val="18"/>
              </w:rPr>
              <w:t>zostały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udostępnione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on-line szkolenia e-learningowe dostarczające wiedzę na temat funkcjonalności i zakresu udostępnianych usług elektronicznych, a także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umożliwiające samodzielną naukę obsługi systemu. Szkolenia e-learningowe będą aktualizowane w momencie dokonywanych zmian rozwojowych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oraz w wyniku analizy otrzymanych rezultatów przeprowadzanego badania zadowolenia użytkowników, w ramach usług utrzymaniowych</w:t>
            </w:r>
          </w:p>
        </w:tc>
      </w:tr>
      <w:tr w:rsidR="009D3D41" w:rsidRPr="002450C4" w14:paraId="72F68022" w14:textId="77777777" w:rsidTr="006A60C6">
        <w:tc>
          <w:tcPr>
            <w:tcW w:w="437" w:type="dxa"/>
          </w:tcPr>
          <w:p w14:paraId="69F968D4" w14:textId="03D72EC9" w:rsidR="009D3D41" w:rsidRPr="002450C4" w:rsidRDefault="00715D46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12.</w:t>
            </w:r>
          </w:p>
        </w:tc>
        <w:tc>
          <w:tcPr>
            <w:tcW w:w="1535" w:type="dxa"/>
          </w:tcPr>
          <w:p w14:paraId="20376AC1" w14:textId="77777777" w:rsidR="009D3D41" w:rsidRPr="00F32D7B" w:rsidRDefault="009D3D41" w:rsidP="007E6098">
            <w:pPr>
              <w:rPr>
                <w:sz w:val="18"/>
                <w:szCs w:val="20"/>
                <w:highlight w:val="yellow"/>
              </w:rPr>
            </w:pPr>
            <w:r w:rsidRPr="00C42C93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371" w:type="dxa"/>
          </w:tcPr>
          <w:p w14:paraId="772D505D" w14:textId="1277CD71" w:rsidR="002D23B0" w:rsidRDefault="00685D49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 w:rsidRPr="00071053">
              <w:rPr>
                <w:sz w:val="18"/>
                <w:szCs w:val="18"/>
                <w:lang w:val="pl-PL"/>
              </w:rPr>
              <w:t xml:space="preserve">Jednym z kluczowych </w:t>
            </w:r>
            <w:r w:rsidR="00921088" w:rsidRPr="00071053">
              <w:rPr>
                <w:sz w:val="18"/>
                <w:szCs w:val="18"/>
                <w:lang w:val="pl-PL"/>
              </w:rPr>
              <w:t xml:space="preserve">elementów jest zaangażowanie i utrzymanie </w:t>
            </w:r>
            <w:r w:rsidR="00081660" w:rsidRPr="00071053">
              <w:rPr>
                <w:sz w:val="18"/>
                <w:szCs w:val="18"/>
                <w:lang w:val="pl-PL"/>
              </w:rPr>
              <w:t>stabilnego zespołu merytorycznego i technicznego</w:t>
            </w:r>
            <w:r w:rsidR="002D23B0" w:rsidRPr="00071053">
              <w:rPr>
                <w:sz w:val="18"/>
                <w:szCs w:val="18"/>
                <w:lang w:val="pl-PL"/>
              </w:rPr>
              <w:t>.</w:t>
            </w:r>
            <w:r w:rsidR="007C0B98" w:rsidRPr="00071053">
              <w:rPr>
                <w:sz w:val="18"/>
                <w:szCs w:val="18"/>
                <w:lang w:val="pl-PL"/>
              </w:rPr>
              <w:t xml:space="preserve"> Pozwala to na stabilne i płynne prowadzenie rozmów </w:t>
            </w:r>
            <w:r w:rsidR="004D523F" w:rsidRPr="00071053">
              <w:rPr>
                <w:sz w:val="18"/>
                <w:szCs w:val="18"/>
                <w:lang w:val="pl-PL"/>
              </w:rPr>
              <w:t>oraz</w:t>
            </w:r>
            <w:r w:rsidR="00DF1FB5" w:rsidRPr="00071053">
              <w:rPr>
                <w:sz w:val="18"/>
                <w:szCs w:val="18"/>
                <w:lang w:val="pl-PL"/>
              </w:rPr>
              <w:t xml:space="preserve"> realizację ustaleń wynikających z wymagań postawionych w Opisach Przedmiotu Zamówienia z Wykonawcami. </w:t>
            </w:r>
          </w:p>
          <w:p w14:paraId="4C274888" w14:textId="548DD729" w:rsidR="00870B1A" w:rsidRPr="00071053" w:rsidRDefault="00AF60E5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Projekt w</w:t>
            </w:r>
            <w:r w:rsidR="00870B1A" w:rsidRPr="00870B1A">
              <w:rPr>
                <w:sz w:val="18"/>
                <w:szCs w:val="18"/>
                <w:lang w:val="pl-PL"/>
              </w:rPr>
              <w:t>ymagał zaangażowania odpowiednich osób do realizacji działań projektowych. Jasno i precyzyjnie określone role i obowiązki każdego z członków zespołu projektowego pozwoliły na efektywne wykonywanie założonych prac oraz ich systematyczną ocenę.</w:t>
            </w:r>
          </w:p>
          <w:p w14:paraId="700C7C33" w14:textId="61F16E09" w:rsidR="007D6C47" w:rsidRDefault="00233B74" w:rsidP="00D0764F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 w:rsidRPr="00071053">
              <w:rPr>
                <w:sz w:val="18"/>
                <w:szCs w:val="18"/>
                <w:lang w:val="pl-PL"/>
              </w:rPr>
              <w:t xml:space="preserve">Utworzenie wspólnego repozytorium dokumentów z Wykonawcami pozwala na wspólne gromadzenie </w:t>
            </w:r>
            <w:r w:rsidR="001D7FB0" w:rsidRPr="00071053">
              <w:rPr>
                <w:sz w:val="18"/>
                <w:szCs w:val="18"/>
                <w:lang w:val="pl-PL"/>
              </w:rPr>
              <w:t xml:space="preserve">wypracowanych dokumentów, produktów i rozwiązań </w:t>
            </w:r>
            <w:proofErr w:type="spellStart"/>
            <w:r w:rsidR="001D7FB0" w:rsidRPr="00071053">
              <w:rPr>
                <w:sz w:val="18"/>
                <w:szCs w:val="18"/>
                <w:lang w:val="pl-PL"/>
              </w:rPr>
              <w:t>wsp</w:t>
            </w:r>
            <w:r w:rsidR="007D6C47" w:rsidRPr="00071053">
              <w:rPr>
                <w:sz w:val="18"/>
                <w:szCs w:val="18"/>
                <w:lang w:val="pl-PL"/>
              </w:rPr>
              <w:t>arciowych</w:t>
            </w:r>
            <w:proofErr w:type="spellEnd"/>
            <w:r w:rsidR="001D7FB0" w:rsidRPr="00071053">
              <w:rPr>
                <w:sz w:val="18"/>
                <w:szCs w:val="18"/>
                <w:lang w:val="pl-PL"/>
              </w:rPr>
              <w:t xml:space="preserve">, które usprawniają komunikację z Wykonawcami i </w:t>
            </w:r>
            <w:r w:rsidR="007D6C47" w:rsidRPr="00071053">
              <w:rPr>
                <w:sz w:val="18"/>
                <w:szCs w:val="18"/>
                <w:lang w:val="pl-PL"/>
              </w:rPr>
              <w:t xml:space="preserve">wewnętrzną komunikację w zespole projektowym. </w:t>
            </w:r>
          </w:p>
          <w:p w14:paraId="1691C55E" w14:textId="16E52830" w:rsidR="008772DE" w:rsidRPr="00071053" w:rsidRDefault="00B11476" w:rsidP="00D0764F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 w:rsidRPr="00B11476">
              <w:rPr>
                <w:sz w:val="18"/>
                <w:szCs w:val="18"/>
                <w:lang w:val="pl-PL"/>
              </w:rPr>
              <w:t>Produkty Projektu dostarczane były etapowo - ich odbiór dokonywany był w częściach, co pozwoliło na monitorowanie przebiegu poszczególnych etapów i dostarczenie produktu końcowego, który spełnia sprecyzowane wcześniej wymagania jakościowe</w:t>
            </w:r>
            <w:r w:rsidR="00A6665F">
              <w:rPr>
                <w:sz w:val="18"/>
                <w:szCs w:val="18"/>
                <w:lang w:val="pl-PL"/>
              </w:rPr>
              <w:t xml:space="preserve">. </w:t>
            </w:r>
          </w:p>
          <w:p w14:paraId="09072A82" w14:textId="7D52A048" w:rsidR="009D3D41" w:rsidRPr="005875E0" w:rsidRDefault="00332DBE" w:rsidP="005875E0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 w:rsidRPr="00071053">
              <w:rPr>
                <w:sz w:val="18"/>
                <w:szCs w:val="18"/>
                <w:lang w:val="pl-PL"/>
              </w:rPr>
              <w:t>Wdrożono u Beneficjenta</w:t>
            </w:r>
            <w:r w:rsidR="00973C64" w:rsidRPr="00071053">
              <w:rPr>
                <w:sz w:val="18"/>
                <w:szCs w:val="18"/>
                <w:lang w:val="pl-PL"/>
              </w:rPr>
              <w:t xml:space="preserve"> podejście projektowe wśród pracowników co spowodowało lepszą komunikację i zorientowanie na </w:t>
            </w:r>
            <w:r w:rsidR="005875E0" w:rsidRPr="00071053">
              <w:rPr>
                <w:sz w:val="18"/>
                <w:szCs w:val="18"/>
                <w:lang w:val="pl-PL"/>
              </w:rPr>
              <w:t xml:space="preserve">wspólny </w:t>
            </w:r>
            <w:r w:rsidR="00973C64" w:rsidRPr="00071053">
              <w:rPr>
                <w:sz w:val="18"/>
                <w:szCs w:val="18"/>
                <w:lang w:val="pl-PL"/>
              </w:rPr>
              <w:t>cel</w:t>
            </w:r>
            <w:r w:rsidR="005875E0" w:rsidRPr="00071053">
              <w:rPr>
                <w:sz w:val="18"/>
                <w:szCs w:val="18"/>
                <w:lang w:val="pl-PL"/>
              </w:rPr>
              <w:t xml:space="preserve"> oraz reorganizację w innych prowadzonych równolegle projektach IT.</w:t>
            </w:r>
          </w:p>
        </w:tc>
      </w:tr>
    </w:tbl>
    <w:p w14:paraId="0FDA7660" w14:textId="77777777" w:rsidR="001C3B18" w:rsidRDefault="001C3B18" w:rsidP="006D05C0">
      <w:pPr>
        <w:rPr>
          <w:rFonts w:ascii="Calibri" w:hAnsi="Calibri" w:cs="Calibri"/>
          <w:b/>
          <w:bCs/>
          <w:color w:val="000000"/>
          <w:sz w:val="18"/>
          <w:szCs w:val="18"/>
        </w:rPr>
      </w:pPr>
    </w:p>
    <w:p w14:paraId="0F95C551" w14:textId="44587056" w:rsidR="006D05C0" w:rsidRPr="006D05C0" w:rsidRDefault="006D05C0" w:rsidP="006D05C0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D05C0">
        <w:rPr>
          <w:rFonts w:ascii="Calibri" w:hAnsi="Calibri" w:cs="Calibri"/>
          <w:b/>
          <w:bCs/>
          <w:color w:val="000000"/>
          <w:sz w:val="18"/>
          <w:szCs w:val="18"/>
        </w:rPr>
        <w:t>Dane kontaktowe:</w:t>
      </w:r>
    </w:p>
    <w:p w14:paraId="7FBF61D4" w14:textId="7BE40B65" w:rsidR="006D05C0" w:rsidRPr="006D05C0" w:rsidRDefault="00071053" w:rsidP="006D05C0">
      <w:pPr>
        <w:spacing w:before="360" w:after="0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lastRenderedPageBreak/>
        <w:t>Marzena Cybulska</w:t>
      </w:r>
      <w:r w:rsidR="006D05C0" w:rsidRPr="006D05C0">
        <w:rPr>
          <w:rFonts w:ascii="Calibri" w:hAnsi="Calibri" w:cs="Calibri"/>
          <w:color w:val="000000"/>
          <w:sz w:val="18"/>
          <w:szCs w:val="18"/>
        </w:rPr>
        <w:t xml:space="preserve"> – Departament Innowacji i Rozwoju GUM</w:t>
      </w:r>
    </w:p>
    <w:p w14:paraId="01227AB2" w14:textId="187CB7EE" w:rsidR="006D05C0" w:rsidRPr="006B5777" w:rsidRDefault="006D05C0" w:rsidP="00566A3B">
      <w:pPr>
        <w:jc w:val="both"/>
        <w:rPr>
          <w:rFonts w:ascii="Calibri" w:hAnsi="Calibri" w:cs="Calibri"/>
          <w:color w:val="000000"/>
          <w:sz w:val="18"/>
          <w:szCs w:val="18"/>
          <w:lang w:val="pt-PT"/>
        </w:rPr>
      </w:pPr>
      <w:r w:rsidRPr="006B5777">
        <w:rPr>
          <w:rFonts w:ascii="Calibri" w:hAnsi="Calibri" w:cs="Calibri"/>
          <w:color w:val="000000"/>
          <w:sz w:val="18"/>
          <w:szCs w:val="18"/>
          <w:lang w:val="pt-PT"/>
        </w:rPr>
        <w:t xml:space="preserve">e-mail: </w:t>
      </w:r>
      <w:hyperlink r:id="rId12" w:history="1">
        <w:r w:rsidR="00071053" w:rsidRPr="005814A8">
          <w:rPr>
            <w:rStyle w:val="Hipercze"/>
            <w:rFonts w:ascii="Calibri" w:hAnsi="Calibri" w:cs="Calibri"/>
            <w:sz w:val="18"/>
            <w:szCs w:val="18"/>
            <w:lang w:val="pt-PT"/>
          </w:rPr>
          <w:t>marzena.cybulska@gum.gov.pl</w:t>
        </w:r>
      </w:hyperlink>
    </w:p>
    <w:sectPr w:rsidR="006D05C0" w:rsidRPr="006B5777" w:rsidSect="00B6059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97682" w14:textId="77777777" w:rsidR="00B60593" w:rsidRDefault="00B60593" w:rsidP="003E59EB">
      <w:pPr>
        <w:spacing w:after="0" w:line="240" w:lineRule="auto"/>
      </w:pPr>
      <w:r>
        <w:separator/>
      </w:r>
    </w:p>
  </w:endnote>
  <w:endnote w:type="continuationSeparator" w:id="0">
    <w:p w14:paraId="324536A4" w14:textId="77777777" w:rsidR="00B60593" w:rsidRDefault="00B60593" w:rsidP="003E59EB">
      <w:pPr>
        <w:spacing w:after="0" w:line="240" w:lineRule="auto"/>
      </w:pPr>
      <w:r>
        <w:continuationSeparator/>
      </w:r>
    </w:p>
  </w:endnote>
  <w:endnote w:type="continuationNotice" w:id="1">
    <w:p w14:paraId="5F0DB114" w14:textId="77777777" w:rsidR="00B60593" w:rsidRDefault="00B605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611F7" w14:textId="77777777" w:rsidR="00B60593" w:rsidRDefault="00B60593" w:rsidP="003E59EB">
      <w:pPr>
        <w:spacing w:after="0" w:line="240" w:lineRule="auto"/>
      </w:pPr>
      <w:r>
        <w:separator/>
      </w:r>
    </w:p>
  </w:footnote>
  <w:footnote w:type="continuationSeparator" w:id="0">
    <w:p w14:paraId="75E69F33" w14:textId="77777777" w:rsidR="00B60593" w:rsidRDefault="00B60593" w:rsidP="003E59EB">
      <w:pPr>
        <w:spacing w:after="0" w:line="240" w:lineRule="auto"/>
      </w:pPr>
      <w:r>
        <w:continuationSeparator/>
      </w:r>
    </w:p>
  </w:footnote>
  <w:footnote w:type="continuationNotice" w:id="1">
    <w:p w14:paraId="77B2CB79" w14:textId="77777777" w:rsidR="00B60593" w:rsidRDefault="00B60593">
      <w:pPr>
        <w:spacing w:after="0" w:line="240" w:lineRule="auto"/>
      </w:pPr>
    </w:p>
  </w:footnote>
  <w:footnote w:id="2">
    <w:p w14:paraId="41CCF090" w14:textId="77777777" w:rsidR="00ED6985" w:rsidRDefault="00ED6985" w:rsidP="00ED698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B23"/>
    <w:multiLevelType w:val="hybridMultilevel"/>
    <w:tmpl w:val="3DBE2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3462FD5E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FBA0A15"/>
    <w:multiLevelType w:val="hybridMultilevel"/>
    <w:tmpl w:val="6B0AE428"/>
    <w:lvl w:ilvl="0" w:tplc="B0EE37CE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A7974"/>
    <w:multiLevelType w:val="hybridMultilevel"/>
    <w:tmpl w:val="FB1CF2CC"/>
    <w:lvl w:ilvl="0" w:tplc="066478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940FE"/>
    <w:multiLevelType w:val="hybridMultilevel"/>
    <w:tmpl w:val="3606C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21D7A"/>
    <w:multiLevelType w:val="hybridMultilevel"/>
    <w:tmpl w:val="B30C7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54F95"/>
    <w:multiLevelType w:val="hybridMultilevel"/>
    <w:tmpl w:val="8A9E440A"/>
    <w:lvl w:ilvl="0" w:tplc="44C834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DF7060"/>
    <w:multiLevelType w:val="hybridMultilevel"/>
    <w:tmpl w:val="FB1CF2C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2D2F77"/>
    <w:multiLevelType w:val="hybridMultilevel"/>
    <w:tmpl w:val="B30C7A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04EAE"/>
    <w:multiLevelType w:val="hybridMultilevel"/>
    <w:tmpl w:val="669CE8BE"/>
    <w:lvl w:ilvl="0" w:tplc="F72A96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449487">
    <w:abstractNumId w:val="2"/>
  </w:num>
  <w:num w:numId="2" w16cid:durableId="1058555400">
    <w:abstractNumId w:val="16"/>
  </w:num>
  <w:num w:numId="3" w16cid:durableId="601649561">
    <w:abstractNumId w:val="1"/>
  </w:num>
  <w:num w:numId="4" w16cid:durableId="474219980">
    <w:abstractNumId w:val="19"/>
  </w:num>
  <w:num w:numId="5" w16cid:durableId="148861134">
    <w:abstractNumId w:val="18"/>
  </w:num>
  <w:num w:numId="6" w16cid:durableId="1139348709">
    <w:abstractNumId w:val="21"/>
  </w:num>
  <w:num w:numId="7" w16cid:durableId="1311910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3832529">
    <w:abstractNumId w:val="4"/>
  </w:num>
  <w:num w:numId="9" w16cid:durableId="215896071">
    <w:abstractNumId w:val="0"/>
  </w:num>
  <w:num w:numId="10" w16cid:durableId="6637816">
    <w:abstractNumId w:val="8"/>
  </w:num>
  <w:num w:numId="11" w16cid:durableId="960498148">
    <w:abstractNumId w:val="5"/>
  </w:num>
  <w:num w:numId="12" w16cid:durableId="1316757337">
    <w:abstractNumId w:val="15"/>
  </w:num>
  <w:num w:numId="13" w16cid:durableId="680621363">
    <w:abstractNumId w:val="12"/>
  </w:num>
  <w:num w:numId="14" w16cid:durableId="1003433811">
    <w:abstractNumId w:val="13"/>
  </w:num>
  <w:num w:numId="15" w16cid:durableId="2128545484">
    <w:abstractNumId w:val="20"/>
  </w:num>
  <w:num w:numId="16" w16cid:durableId="1695113199">
    <w:abstractNumId w:val="17"/>
  </w:num>
  <w:num w:numId="17" w16cid:durableId="1232933304">
    <w:abstractNumId w:val="22"/>
  </w:num>
  <w:num w:numId="18" w16cid:durableId="1585140975">
    <w:abstractNumId w:val="11"/>
  </w:num>
  <w:num w:numId="19" w16cid:durableId="1308243837">
    <w:abstractNumId w:val="9"/>
  </w:num>
  <w:num w:numId="20" w16cid:durableId="377048805">
    <w:abstractNumId w:val="6"/>
  </w:num>
  <w:num w:numId="21" w16cid:durableId="764493626">
    <w:abstractNumId w:val="14"/>
  </w:num>
  <w:num w:numId="22" w16cid:durableId="1411000355">
    <w:abstractNumId w:val="10"/>
  </w:num>
  <w:num w:numId="23" w16cid:durableId="68760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3854"/>
    <w:rsid w:val="0000462C"/>
    <w:rsid w:val="0000578A"/>
    <w:rsid w:val="000131A4"/>
    <w:rsid w:val="000140D1"/>
    <w:rsid w:val="00015288"/>
    <w:rsid w:val="00015ACA"/>
    <w:rsid w:val="00021981"/>
    <w:rsid w:val="0002257F"/>
    <w:rsid w:val="00025D08"/>
    <w:rsid w:val="00026586"/>
    <w:rsid w:val="00034199"/>
    <w:rsid w:val="00041829"/>
    <w:rsid w:val="00051047"/>
    <w:rsid w:val="00052B99"/>
    <w:rsid w:val="00052D20"/>
    <w:rsid w:val="00054456"/>
    <w:rsid w:val="00060F5C"/>
    <w:rsid w:val="0006132D"/>
    <w:rsid w:val="00063168"/>
    <w:rsid w:val="00064F09"/>
    <w:rsid w:val="00067B89"/>
    <w:rsid w:val="00071053"/>
    <w:rsid w:val="00075782"/>
    <w:rsid w:val="0007586B"/>
    <w:rsid w:val="00080B68"/>
    <w:rsid w:val="00081660"/>
    <w:rsid w:val="000837BA"/>
    <w:rsid w:val="00090D34"/>
    <w:rsid w:val="000A2474"/>
    <w:rsid w:val="000A4E55"/>
    <w:rsid w:val="000B18F4"/>
    <w:rsid w:val="000B702D"/>
    <w:rsid w:val="000C22CE"/>
    <w:rsid w:val="000D01AD"/>
    <w:rsid w:val="000D2166"/>
    <w:rsid w:val="000D3CA9"/>
    <w:rsid w:val="000E0C6F"/>
    <w:rsid w:val="000E2670"/>
    <w:rsid w:val="000E2A91"/>
    <w:rsid w:val="000F12EE"/>
    <w:rsid w:val="000F3677"/>
    <w:rsid w:val="000F3700"/>
    <w:rsid w:val="000F66C6"/>
    <w:rsid w:val="000F77EF"/>
    <w:rsid w:val="00102E1D"/>
    <w:rsid w:val="00102EF5"/>
    <w:rsid w:val="00105AAB"/>
    <w:rsid w:val="001125D1"/>
    <w:rsid w:val="001218B4"/>
    <w:rsid w:val="00123664"/>
    <w:rsid w:val="00125CE4"/>
    <w:rsid w:val="0013169A"/>
    <w:rsid w:val="001316DB"/>
    <w:rsid w:val="00134BB4"/>
    <w:rsid w:val="00137720"/>
    <w:rsid w:val="00141C6E"/>
    <w:rsid w:val="00141F5E"/>
    <w:rsid w:val="001455E8"/>
    <w:rsid w:val="00151A90"/>
    <w:rsid w:val="00154BE7"/>
    <w:rsid w:val="001551B4"/>
    <w:rsid w:val="001600BB"/>
    <w:rsid w:val="00161D2A"/>
    <w:rsid w:val="001653FD"/>
    <w:rsid w:val="001660A8"/>
    <w:rsid w:val="00166EBF"/>
    <w:rsid w:val="00174F77"/>
    <w:rsid w:val="001806EC"/>
    <w:rsid w:val="00183074"/>
    <w:rsid w:val="00183D1F"/>
    <w:rsid w:val="00185162"/>
    <w:rsid w:val="0018623E"/>
    <w:rsid w:val="00187EAE"/>
    <w:rsid w:val="001925C4"/>
    <w:rsid w:val="001939B6"/>
    <w:rsid w:val="001A2A0D"/>
    <w:rsid w:val="001A2A49"/>
    <w:rsid w:val="001B08D4"/>
    <w:rsid w:val="001B607D"/>
    <w:rsid w:val="001B7E51"/>
    <w:rsid w:val="001C00B4"/>
    <w:rsid w:val="001C3B18"/>
    <w:rsid w:val="001C3DEF"/>
    <w:rsid w:val="001C611C"/>
    <w:rsid w:val="001C6D7D"/>
    <w:rsid w:val="001D7BBA"/>
    <w:rsid w:val="001D7FB0"/>
    <w:rsid w:val="001E5C19"/>
    <w:rsid w:val="001F105F"/>
    <w:rsid w:val="001F1122"/>
    <w:rsid w:val="00200854"/>
    <w:rsid w:val="002021F3"/>
    <w:rsid w:val="00203255"/>
    <w:rsid w:val="002034AE"/>
    <w:rsid w:val="00210644"/>
    <w:rsid w:val="002121D5"/>
    <w:rsid w:val="002138A7"/>
    <w:rsid w:val="0021582D"/>
    <w:rsid w:val="0021629C"/>
    <w:rsid w:val="002163E0"/>
    <w:rsid w:val="00231296"/>
    <w:rsid w:val="002315DE"/>
    <w:rsid w:val="00233B74"/>
    <w:rsid w:val="00236A66"/>
    <w:rsid w:val="002450C4"/>
    <w:rsid w:val="00253239"/>
    <w:rsid w:val="002561AB"/>
    <w:rsid w:val="00257E20"/>
    <w:rsid w:val="00261AA8"/>
    <w:rsid w:val="00285928"/>
    <w:rsid w:val="002959C0"/>
    <w:rsid w:val="00295C2A"/>
    <w:rsid w:val="002A12E0"/>
    <w:rsid w:val="002A153C"/>
    <w:rsid w:val="002A251E"/>
    <w:rsid w:val="002A4D3C"/>
    <w:rsid w:val="002A728C"/>
    <w:rsid w:val="002B12A7"/>
    <w:rsid w:val="002B306A"/>
    <w:rsid w:val="002B589D"/>
    <w:rsid w:val="002C072E"/>
    <w:rsid w:val="002D23B0"/>
    <w:rsid w:val="002D35ED"/>
    <w:rsid w:val="002E396B"/>
    <w:rsid w:val="002E5C22"/>
    <w:rsid w:val="002E79B4"/>
    <w:rsid w:val="002F2923"/>
    <w:rsid w:val="0030093A"/>
    <w:rsid w:val="00315CD9"/>
    <w:rsid w:val="00317D21"/>
    <w:rsid w:val="00330340"/>
    <w:rsid w:val="0033039C"/>
    <w:rsid w:val="00332DBE"/>
    <w:rsid w:val="0034183F"/>
    <w:rsid w:val="003450CE"/>
    <w:rsid w:val="00362701"/>
    <w:rsid w:val="003643D1"/>
    <w:rsid w:val="003718BA"/>
    <w:rsid w:val="00381DA1"/>
    <w:rsid w:val="00392651"/>
    <w:rsid w:val="00395AFB"/>
    <w:rsid w:val="00396E49"/>
    <w:rsid w:val="003A3A3B"/>
    <w:rsid w:val="003B107D"/>
    <w:rsid w:val="003B1BF7"/>
    <w:rsid w:val="003B4859"/>
    <w:rsid w:val="003B6327"/>
    <w:rsid w:val="003B748B"/>
    <w:rsid w:val="003B7BD6"/>
    <w:rsid w:val="003C5A0C"/>
    <w:rsid w:val="003D7919"/>
    <w:rsid w:val="003E273E"/>
    <w:rsid w:val="003E43C9"/>
    <w:rsid w:val="003E59EB"/>
    <w:rsid w:val="003E61EF"/>
    <w:rsid w:val="003F2C07"/>
    <w:rsid w:val="00401AFB"/>
    <w:rsid w:val="004046DC"/>
    <w:rsid w:val="00411EB5"/>
    <w:rsid w:val="00414861"/>
    <w:rsid w:val="00416093"/>
    <w:rsid w:val="00421DFB"/>
    <w:rsid w:val="0042503A"/>
    <w:rsid w:val="00427A9F"/>
    <w:rsid w:val="00430A29"/>
    <w:rsid w:val="00430BC2"/>
    <w:rsid w:val="004348EE"/>
    <w:rsid w:val="00442CF8"/>
    <w:rsid w:val="00447319"/>
    <w:rsid w:val="00452078"/>
    <w:rsid w:val="004628C3"/>
    <w:rsid w:val="00462AF4"/>
    <w:rsid w:val="00463EA5"/>
    <w:rsid w:val="004649C2"/>
    <w:rsid w:val="00471B73"/>
    <w:rsid w:val="00480183"/>
    <w:rsid w:val="00484529"/>
    <w:rsid w:val="00493A61"/>
    <w:rsid w:val="004A3E9A"/>
    <w:rsid w:val="004A3F67"/>
    <w:rsid w:val="004A48A6"/>
    <w:rsid w:val="004A490A"/>
    <w:rsid w:val="004B19FE"/>
    <w:rsid w:val="004B3CD9"/>
    <w:rsid w:val="004B5F6F"/>
    <w:rsid w:val="004C057B"/>
    <w:rsid w:val="004C17D0"/>
    <w:rsid w:val="004C258E"/>
    <w:rsid w:val="004C51D4"/>
    <w:rsid w:val="004C61C3"/>
    <w:rsid w:val="004D135D"/>
    <w:rsid w:val="004D35D9"/>
    <w:rsid w:val="004D3C8E"/>
    <w:rsid w:val="004D523F"/>
    <w:rsid w:val="004E3378"/>
    <w:rsid w:val="004F1D0C"/>
    <w:rsid w:val="004F6A48"/>
    <w:rsid w:val="004F7976"/>
    <w:rsid w:val="005040FE"/>
    <w:rsid w:val="005108FB"/>
    <w:rsid w:val="00511EFC"/>
    <w:rsid w:val="00512445"/>
    <w:rsid w:val="00513BE3"/>
    <w:rsid w:val="005231DB"/>
    <w:rsid w:val="00524C22"/>
    <w:rsid w:val="005262AD"/>
    <w:rsid w:val="005269A2"/>
    <w:rsid w:val="00530D57"/>
    <w:rsid w:val="00535A43"/>
    <w:rsid w:val="00535D27"/>
    <w:rsid w:val="00542C1C"/>
    <w:rsid w:val="005479C4"/>
    <w:rsid w:val="005506D5"/>
    <w:rsid w:val="005514E5"/>
    <w:rsid w:val="00552E40"/>
    <w:rsid w:val="00556A37"/>
    <w:rsid w:val="00557B1B"/>
    <w:rsid w:val="00561CDD"/>
    <w:rsid w:val="00562C2D"/>
    <w:rsid w:val="00562E5C"/>
    <w:rsid w:val="005660CF"/>
    <w:rsid w:val="00566A3B"/>
    <w:rsid w:val="00566D41"/>
    <w:rsid w:val="0056703D"/>
    <w:rsid w:val="005716C1"/>
    <w:rsid w:val="00576A82"/>
    <w:rsid w:val="0058262E"/>
    <w:rsid w:val="005832D3"/>
    <w:rsid w:val="00584923"/>
    <w:rsid w:val="005875E0"/>
    <w:rsid w:val="005912F0"/>
    <w:rsid w:val="00592434"/>
    <w:rsid w:val="005928E3"/>
    <w:rsid w:val="005935F9"/>
    <w:rsid w:val="00596EA9"/>
    <w:rsid w:val="00597BC4"/>
    <w:rsid w:val="005A4344"/>
    <w:rsid w:val="005A6AB8"/>
    <w:rsid w:val="005A7F6A"/>
    <w:rsid w:val="005B2B4C"/>
    <w:rsid w:val="005B334E"/>
    <w:rsid w:val="005B4D75"/>
    <w:rsid w:val="005B6800"/>
    <w:rsid w:val="005B6C24"/>
    <w:rsid w:val="005B6D02"/>
    <w:rsid w:val="005B7363"/>
    <w:rsid w:val="005D0019"/>
    <w:rsid w:val="005D4188"/>
    <w:rsid w:val="005D7015"/>
    <w:rsid w:val="005E1216"/>
    <w:rsid w:val="005E4FDC"/>
    <w:rsid w:val="005F0D4B"/>
    <w:rsid w:val="005F6A07"/>
    <w:rsid w:val="00601618"/>
    <w:rsid w:val="00606822"/>
    <w:rsid w:val="00614F44"/>
    <w:rsid w:val="00632AA0"/>
    <w:rsid w:val="006359FF"/>
    <w:rsid w:val="006435A1"/>
    <w:rsid w:val="00643672"/>
    <w:rsid w:val="00651B1D"/>
    <w:rsid w:val="006631AC"/>
    <w:rsid w:val="00667A1F"/>
    <w:rsid w:val="00675801"/>
    <w:rsid w:val="00685D49"/>
    <w:rsid w:val="00687AFE"/>
    <w:rsid w:val="00692465"/>
    <w:rsid w:val="00696EB5"/>
    <w:rsid w:val="006A0169"/>
    <w:rsid w:val="006A3D5A"/>
    <w:rsid w:val="006A4FD7"/>
    <w:rsid w:val="006A60C6"/>
    <w:rsid w:val="006A756A"/>
    <w:rsid w:val="006A78AD"/>
    <w:rsid w:val="006B1CEE"/>
    <w:rsid w:val="006B5777"/>
    <w:rsid w:val="006B7454"/>
    <w:rsid w:val="006C1322"/>
    <w:rsid w:val="006C2259"/>
    <w:rsid w:val="006C6D2F"/>
    <w:rsid w:val="006C70CA"/>
    <w:rsid w:val="006D0265"/>
    <w:rsid w:val="006D05C0"/>
    <w:rsid w:val="006D1412"/>
    <w:rsid w:val="006E26F7"/>
    <w:rsid w:val="006E7FEE"/>
    <w:rsid w:val="006F16C4"/>
    <w:rsid w:val="006F1A25"/>
    <w:rsid w:val="006F62CF"/>
    <w:rsid w:val="00703EA6"/>
    <w:rsid w:val="00711FC4"/>
    <w:rsid w:val="00715D46"/>
    <w:rsid w:val="00716201"/>
    <w:rsid w:val="00716D37"/>
    <w:rsid w:val="0072490E"/>
    <w:rsid w:val="007273A8"/>
    <w:rsid w:val="00730FE6"/>
    <w:rsid w:val="00731F6C"/>
    <w:rsid w:val="0073286E"/>
    <w:rsid w:val="007337B4"/>
    <w:rsid w:val="007353FF"/>
    <w:rsid w:val="007356BE"/>
    <w:rsid w:val="00735B5E"/>
    <w:rsid w:val="00735FD4"/>
    <w:rsid w:val="007408A3"/>
    <w:rsid w:val="00742EC9"/>
    <w:rsid w:val="00743031"/>
    <w:rsid w:val="007437D9"/>
    <w:rsid w:val="00751967"/>
    <w:rsid w:val="00757676"/>
    <w:rsid w:val="00760240"/>
    <w:rsid w:val="00760892"/>
    <w:rsid w:val="00761F69"/>
    <w:rsid w:val="00762003"/>
    <w:rsid w:val="00763860"/>
    <w:rsid w:val="007708CC"/>
    <w:rsid w:val="00773523"/>
    <w:rsid w:val="00773CEE"/>
    <w:rsid w:val="00774A5C"/>
    <w:rsid w:val="00780B19"/>
    <w:rsid w:val="00786777"/>
    <w:rsid w:val="0079038A"/>
    <w:rsid w:val="00791819"/>
    <w:rsid w:val="00791AD8"/>
    <w:rsid w:val="007972FA"/>
    <w:rsid w:val="007A0A3D"/>
    <w:rsid w:val="007A16FC"/>
    <w:rsid w:val="007A350F"/>
    <w:rsid w:val="007B16D3"/>
    <w:rsid w:val="007B2DCE"/>
    <w:rsid w:val="007B3721"/>
    <w:rsid w:val="007C0B98"/>
    <w:rsid w:val="007C54F9"/>
    <w:rsid w:val="007D039E"/>
    <w:rsid w:val="007D1287"/>
    <w:rsid w:val="007D1785"/>
    <w:rsid w:val="007D6500"/>
    <w:rsid w:val="007D6C47"/>
    <w:rsid w:val="007E2C4A"/>
    <w:rsid w:val="007E2F1F"/>
    <w:rsid w:val="007E3C59"/>
    <w:rsid w:val="007E4710"/>
    <w:rsid w:val="007E5750"/>
    <w:rsid w:val="007E6098"/>
    <w:rsid w:val="007E6BD1"/>
    <w:rsid w:val="007E79C0"/>
    <w:rsid w:val="007F4F6D"/>
    <w:rsid w:val="007F63EF"/>
    <w:rsid w:val="00800F09"/>
    <w:rsid w:val="0081186F"/>
    <w:rsid w:val="00813FEF"/>
    <w:rsid w:val="00814C23"/>
    <w:rsid w:val="008170CD"/>
    <w:rsid w:val="008213A6"/>
    <w:rsid w:val="00822D81"/>
    <w:rsid w:val="0083378A"/>
    <w:rsid w:val="00837182"/>
    <w:rsid w:val="0085020B"/>
    <w:rsid w:val="008515B2"/>
    <w:rsid w:val="0085167E"/>
    <w:rsid w:val="00853505"/>
    <w:rsid w:val="00853CC5"/>
    <w:rsid w:val="00853E28"/>
    <w:rsid w:val="00854F2A"/>
    <w:rsid w:val="00856931"/>
    <w:rsid w:val="008617FC"/>
    <w:rsid w:val="00862155"/>
    <w:rsid w:val="008632E4"/>
    <w:rsid w:val="00864CEB"/>
    <w:rsid w:val="00865CDF"/>
    <w:rsid w:val="008700A0"/>
    <w:rsid w:val="00870B1A"/>
    <w:rsid w:val="00872CD6"/>
    <w:rsid w:val="00873093"/>
    <w:rsid w:val="008772DE"/>
    <w:rsid w:val="00883F1D"/>
    <w:rsid w:val="0088587B"/>
    <w:rsid w:val="008927DE"/>
    <w:rsid w:val="00897CE1"/>
    <w:rsid w:val="008A0784"/>
    <w:rsid w:val="008A7603"/>
    <w:rsid w:val="008B025B"/>
    <w:rsid w:val="008B0E4E"/>
    <w:rsid w:val="008B576A"/>
    <w:rsid w:val="008B7E68"/>
    <w:rsid w:val="008C317B"/>
    <w:rsid w:val="008E0416"/>
    <w:rsid w:val="008E486E"/>
    <w:rsid w:val="008E6657"/>
    <w:rsid w:val="008E684E"/>
    <w:rsid w:val="008E7879"/>
    <w:rsid w:val="008F155A"/>
    <w:rsid w:val="0090223D"/>
    <w:rsid w:val="00903229"/>
    <w:rsid w:val="00905779"/>
    <w:rsid w:val="00906EF3"/>
    <w:rsid w:val="00907215"/>
    <w:rsid w:val="00917C76"/>
    <w:rsid w:val="0092099A"/>
    <w:rsid w:val="00920CE8"/>
    <w:rsid w:val="00921088"/>
    <w:rsid w:val="00921733"/>
    <w:rsid w:val="00922CA0"/>
    <w:rsid w:val="0092656E"/>
    <w:rsid w:val="00927583"/>
    <w:rsid w:val="009334D9"/>
    <w:rsid w:val="0094272B"/>
    <w:rsid w:val="00946A22"/>
    <w:rsid w:val="00951AB4"/>
    <w:rsid w:val="00957F6E"/>
    <w:rsid w:val="0096357E"/>
    <w:rsid w:val="00973C64"/>
    <w:rsid w:val="00980200"/>
    <w:rsid w:val="00982DC4"/>
    <w:rsid w:val="009837F0"/>
    <w:rsid w:val="00986B78"/>
    <w:rsid w:val="009954EA"/>
    <w:rsid w:val="009A16A7"/>
    <w:rsid w:val="009A7A34"/>
    <w:rsid w:val="009A7F5B"/>
    <w:rsid w:val="009B1C00"/>
    <w:rsid w:val="009B3DCF"/>
    <w:rsid w:val="009C65B5"/>
    <w:rsid w:val="009C6CA2"/>
    <w:rsid w:val="009D1AD2"/>
    <w:rsid w:val="009D3D41"/>
    <w:rsid w:val="009D522D"/>
    <w:rsid w:val="009D7942"/>
    <w:rsid w:val="009E1398"/>
    <w:rsid w:val="009E5C0D"/>
    <w:rsid w:val="009E799B"/>
    <w:rsid w:val="009F09D3"/>
    <w:rsid w:val="009F373C"/>
    <w:rsid w:val="009F414C"/>
    <w:rsid w:val="009F7BB9"/>
    <w:rsid w:val="00A00C11"/>
    <w:rsid w:val="00A031F9"/>
    <w:rsid w:val="00A05579"/>
    <w:rsid w:val="00A11E4F"/>
    <w:rsid w:val="00A12836"/>
    <w:rsid w:val="00A1534B"/>
    <w:rsid w:val="00A16DEB"/>
    <w:rsid w:val="00A22AD9"/>
    <w:rsid w:val="00A23676"/>
    <w:rsid w:val="00A34BEF"/>
    <w:rsid w:val="00A3665A"/>
    <w:rsid w:val="00A3688D"/>
    <w:rsid w:val="00A37FC4"/>
    <w:rsid w:val="00A40B2D"/>
    <w:rsid w:val="00A41837"/>
    <w:rsid w:val="00A46174"/>
    <w:rsid w:val="00A522AB"/>
    <w:rsid w:val="00A54448"/>
    <w:rsid w:val="00A55931"/>
    <w:rsid w:val="00A6601B"/>
    <w:rsid w:val="00A6665F"/>
    <w:rsid w:val="00A710B2"/>
    <w:rsid w:val="00A71E5F"/>
    <w:rsid w:val="00A75CB4"/>
    <w:rsid w:val="00A808AD"/>
    <w:rsid w:val="00A824DE"/>
    <w:rsid w:val="00A85451"/>
    <w:rsid w:val="00A8555A"/>
    <w:rsid w:val="00A85666"/>
    <w:rsid w:val="00A85853"/>
    <w:rsid w:val="00A9686D"/>
    <w:rsid w:val="00A97DF2"/>
    <w:rsid w:val="00AA1C73"/>
    <w:rsid w:val="00AA4460"/>
    <w:rsid w:val="00AA77B9"/>
    <w:rsid w:val="00AC34EA"/>
    <w:rsid w:val="00AC5EEA"/>
    <w:rsid w:val="00AC75C4"/>
    <w:rsid w:val="00AE72AE"/>
    <w:rsid w:val="00AF0297"/>
    <w:rsid w:val="00AF47A8"/>
    <w:rsid w:val="00AF47FE"/>
    <w:rsid w:val="00AF60E5"/>
    <w:rsid w:val="00AF6980"/>
    <w:rsid w:val="00B01D96"/>
    <w:rsid w:val="00B10875"/>
    <w:rsid w:val="00B11476"/>
    <w:rsid w:val="00B16377"/>
    <w:rsid w:val="00B16C28"/>
    <w:rsid w:val="00B17F89"/>
    <w:rsid w:val="00B200E3"/>
    <w:rsid w:val="00B23372"/>
    <w:rsid w:val="00B26832"/>
    <w:rsid w:val="00B30372"/>
    <w:rsid w:val="00B3294F"/>
    <w:rsid w:val="00B33C04"/>
    <w:rsid w:val="00B3402E"/>
    <w:rsid w:val="00B34B6A"/>
    <w:rsid w:val="00B35257"/>
    <w:rsid w:val="00B401BE"/>
    <w:rsid w:val="00B50927"/>
    <w:rsid w:val="00B51A80"/>
    <w:rsid w:val="00B56B89"/>
    <w:rsid w:val="00B57299"/>
    <w:rsid w:val="00B60593"/>
    <w:rsid w:val="00B65C6F"/>
    <w:rsid w:val="00B71C32"/>
    <w:rsid w:val="00B73843"/>
    <w:rsid w:val="00B77C52"/>
    <w:rsid w:val="00B85C7A"/>
    <w:rsid w:val="00B85E3E"/>
    <w:rsid w:val="00B860E5"/>
    <w:rsid w:val="00B93735"/>
    <w:rsid w:val="00B95D61"/>
    <w:rsid w:val="00B96B7A"/>
    <w:rsid w:val="00BB0895"/>
    <w:rsid w:val="00BB51C1"/>
    <w:rsid w:val="00BB6305"/>
    <w:rsid w:val="00BC10B6"/>
    <w:rsid w:val="00BC1190"/>
    <w:rsid w:val="00BC120E"/>
    <w:rsid w:val="00BD0AAF"/>
    <w:rsid w:val="00BD23C0"/>
    <w:rsid w:val="00BD60C9"/>
    <w:rsid w:val="00BD6FAD"/>
    <w:rsid w:val="00BE04B3"/>
    <w:rsid w:val="00BE28D7"/>
    <w:rsid w:val="00BF337D"/>
    <w:rsid w:val="00BF349F"/>
    <w:rsid w:val="00BF6DBD"/>
    <w:rsid w:val="00C02398"/>
    <w:rsid w:val="00C044BF"/>
    <w:rsid w:val="00C05FAA"/>
    <w:rsid w:val="00C15BE2"/>
    <w:rsid w:val="00C1787E"/>
    <w:rsid w:val="00C23A9C"/>
    <w:rsid w:val="00C26B53"/>
    <w:rsid w:val="00C32409"/>
    <w:rsid w:val="00C3398E"/>
    <w:rsid w:val="00C33C18"/>
    <w:rsid w:val="00C37A3A"/>
    <w:rsid w:val="00C41D0A"/>
    <w:rsid w:val="00C42446"/>
    <w:rsid w:val="00C42C93"/>
    <w:rsid w:val="00C43044"/>
    <w:rsid w:val="00C44040"/>
    <w:rsid w:val="00C4407B"/>
    <w:rsid w:val="00C46D76"/>
    <w:rsid w:val="00C546B0"/>
    <w:rsid w:val="00C56B53"/>
    <w:rsid w:val="00C61A26"/>
    <w:rsid w:val="00C61D35"/>
    <w:rsid w:val="00C67B9B"/>
    <w:rsid w:val="00C67EFB"/>
    <w:rsid w:val="00C72217"/>
    <w:rsid w:val="00C723CE"/>
    <w:rsid w:val="00C81729"/>
    <w:rsid w:val="00C850F1"/>
    <w:rsid w:val="00C855A0"/>
    <w:rsid w:val="00C8598E"/>
    <w:rsid w:val="00C927F3"/>
    <w:rsid w:val="00C948E6"/>
    <w:rsid w:val="00C9750D"/>
    <w:rsid w:val="00CA13A7"/>
    <w:rsid w:val="00CA79E4"/>
    <w:rsid w:val="00CB34AC"/>
    <w:rsid w:val="00CB68B7"/>
    <w:rsid w:val="00CB735E"/>
    <w:rsid w:val="00CB7453"/>
    <w:rsid w:val="00CB7C0D"/>
    <w:rsid w:val="00CC2575"/>
    <w:rsid w:val="00CC4E74"/>
    <w:rsid w:val="00CC58B1"/>
    <w:rsid w:val="00CC6C87"/>
    <w:rsid w:val="00CD1608"/>
    <w:rsid w:val="00CD1B1E"/>
    <w:rsid w:val="00CD1CCA"/>
    <w:rsid w:val="00CD56A1"/>
    <w:rsid w:val="00CE3DD2"/>
    <w:rsid w:val="00CE7DAC"/>
    <w:rsid w:val="00CF1CF5"/>
    <w:rsid w:val="00CF203D"/>
    <w:rsid w:val="00CF38CE"/>
    <w:rsid w:val="00CF4111"/>
    <w:rsid w:val="00D01464"/>
    <w:rsid w:val="00D05BE3"/>
    <w:rsid w:val="00D0764F"/>
    <w:rsid w:val="00D12885"/>
    <w:rsid w:val="00D15AB4"/>
    <w:rsid w:val="00D17437"/>
    <w:rsid w:val="00D22A05"/>
    <w:rsid w:val="00D2362C"/>
    <w:rsid w:val="00D25037"/>
    <w:rsid w:val="00D2582C"/>
    <w:rsid w:val="00D25DF0"/>
    <w:rsid w:val="00D41973"/>
    <w:rsid w:val="00D479D2"/>
    <w:rsid w:val="00D553F2"/>
    <w:rsid w:val="00D57D74"/>
    <w:rsid w:val="00D62CF4"/>
    <w:rsid w:val="00D65F79"/>
    <w:rsid w:val="00D664BA"/>
    <w:rsid w:val="00D67CF1"/>
    <w:rsid w:val="00D75FD1"/>
    <w:rsid w:val="00D7661B"/>
    <w:rsid w:val="00D96605"/>
    <w:rsid w:val="00DA0D66"/>
    <w:rsid w:val="00DA4FF8"/>
    <w:rsid w:val="00DB0CBD"/>
    <w:rsid w:val="00DB3E48"/>
    <w:rsid w:val="00DB70A5"/>
    <w:rsid w:val="00DB755D"/>
    <w:rsid w:val="00DC19B1"/>
    <w:rsid w:val="00DE7593"/>
    <w:rsid w:val="00DF1FB5"/>
    <w:rsid w:val="00DF272A"/>
    <w:rsid w:val="00DF2AC9"/>
    <w:rsid w:val="00DF2C0B"/>
    <w:rsid w:val="00DF3DC3"/>
    <w:rsid w:val="00E01EA0"/>
    <w:rsid w:val="00E064B9"/>
    <w:rsid w:val="00E122E7"/>
    <w:rsid w:val="00E30008"/>
    <w:rsid w:val="00E30FDC"/>
    <w:rsid w:val="00E32448"/>
    <w:rsid w:val="00E33A85"/>
    <w:rsid w:val="00E52208"/>
    <w:rsid w:val="00E52249"/>
    <w:rsid w:val="00E546A1"/>
    <w:rsid w:val="00E63149"/>
    <w:rsid w:val="00E675FD"/>
    <w:rsid w:val="00E72077"/>
    <w:rsid w:val="00E74B55"/>
    <w:rsid w:val="00E96BB5"/>
    <w:rsid w:val="00E96F33"/>
    <w:rsid w:val="00EB6B66"/>
    <w:rsid w:val="00EB77F5"/>
    <w:rsid w:val="00EC225C"/>
    <w:rsid w:val="00EC408D"/>
    <w:rsid w:val="00EC4AE0"/>
    <w:rsid w:val="00EC4EC4"/>
    <w:rsid w:val="00ED0BD7"/>
    <w:rsid w:val="00ED349D"/>
    <w:rsid w:val="00ED6985"/>
    <w:rsid w:val="00EE1148"/>
    <w:rsid w:val="00EE7569"/>
    <w:rsid w:val="00EF094D"/>
    <w:rsid w:val="00F06822"/>
    <w:rsid w:val="00F15AFE"/>
    <w:rsid w:val="00F21514"/>
    <w:rsid w:val="00F22948"/>
    <w:rsid w:val="00F25DBB"/>
    <w:rsid w:val="00F32CAA"/>
    <w:rsid w:val="00F32D7B"/>
    <w:rsid w:val="00F3386B"/>
    <w:rsid w:val="00F34D0A"/>
    <w:rsid w:val="00F35448"/>
    <w:rsid w:val="00F37B81"/>
    <w:rsid w:val="00F37EA8"/>
    <w:rsid w:val="00F40612"/>
    <w:rsid w:val="00F41686"/>
    <w:rsid w:val="00F56954"/>
    <w:rsid w:val="00F64B04"/>
    <w:rsid w:val="00F670E4"/>
    <w:rsid w:val="00F72F52"/>
    <w:rsid w:val="00F741B3"/>
    <w:rsid w:val="00F7602D"/>
    <w:rsid w:val="00F8040F"/>
    <w:rsid w:val="00F82254"/>
    <w:rsid w:val="00F84C42"/>
    <w:rsid w:val="00F866C4"/>
    <w:rsid w:val="00F87984"/>
    <w:rsid w:val="00F90636"/>
    <w:rsid w:val="00F90C0D"/>
    <w:rsid w:val="00F954ED"/>
    <w:rsid w:val="00FA2C7F"/>
    <w:rsid w:val="00FA4586"/>
    <w:rsid w:val="00FA5315"/>
    <w:rsid w:val="00FA6F79"/>
    <w:rsid w:val="00FB3EB1"/>
    <w:rsid w:val="00FC1EC7"/>
    <w:rsid w:val="00FC5857"/>
    <w:rsid w:val="00FC6739"/>
    <w:rsid w:val="00FD074F"/>
    <w:rsid w:val="00FD0B0F"/>
    <w:rsid w:val="00FE584B"/>
    <w:rsid w:val="00FE69F3"/>
    <w:rsid w:val="00FF6A6F"/>
    <w:rsid w:val="19A4FB9C"/>
    <w:rsid w:val="1FDEBB9B"/>
    <w:rsid w:val="28DE27EB"/>
    <w:rsid w:val="29A5616C"/>
    <w:rsid w:val="3C2ABD87"/>
    <w:rsid w:val="48A463A8"/>
    <w:rsid w:val="7C4284A0"/>
    <w:rsid w:val="7D69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98F7"/>
  <w15:docId w15:val="{FE33942F-454B-4020-A7BF-753868A5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6D05C0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E59EB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E59E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3E5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7E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7EF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7EFB"/>
    <w:rPr>
      <w:color w:val="954F72" w:themeColor="followedHyperlink"/>
      <w:u w:val="single"/>
    </w:rPr>
  </w:style>
  <w:style w:type="paragraph" w:customStyle="1" w:styleId="Default">
    <w:name w:val="Default"/>
    <w:rsid w:val="00822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3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3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3C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6D05C0"/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5B2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8515B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8515B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2362C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2362C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2362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2362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2362C"/>
  </w:style>
  <w:style w:type="paragraph" w:customStyle="1" w:styleId="BodyText1">
    <w:name w:val="Body Text 1"/>
    <w:basedOn w:val="Normalny"/>
    <w:link w:val="BodyText1Char"/>
    <w:autoRedefine/>
    <w:uiPriority w:val="99"/>
    <w:rsid w:val="00257E20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57E20"/>
    <w:rPr>
      <w:rFonts w:ascii="Arial" w:eastAsia="Times New Roman" w:hAnsi="Arial" w:cs="Arial"/>
      <w:b/>
      <w:bCs/>
      <w:color w:val="0070C0"/>
    </w:rPr>
  </w:style>
  <w:style w:type="paragraph" w:customStyle="1" w:styleId="RTH">
    <w:name w:val="RTH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b/>
      <w:bCs/>
      <w:color w:val="000000"/>
      <w:sz w:val="18"/>
      <w:szCs w:val="18"/>
      <w:lang w:val="en-US"/>
    </w:rPr>
  </w:style>
  <w:style w:type="paragraph" w:customStyle="1" w:styleId="RTD">
    <w:name w:val="RTD"/>
    <w:basedOn w:val="Normalny"/>
    <w:rsid w:val="005269A2"/>
    <w:pPr>
      <w:spacing w:before="113" w:after="113" w:line="240" w:lineRule="auto"/>
    </w:pPr>
    <w:rPr>
      <w:rFonts w:ascii="Calibri Light" w:hAnsi="Calibri Light" w:cs="Calibri Light"/>
      <w:color w:val="000000"/>
      <w:sz w:val="18"/>
      <w:szCs w:val="18"/>
      <w:lang w:val="en-US"/>
    </w:rPr>
  </w:style>
  <w:style w:type="paragraph" w:customStyle="1" w:styleId="RTDI">
    <w:name w:val="RTDI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i/>
      <w:iCs/>
      <w:color w:val="808080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B74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748B"/>
  </w:style>
  <w:style w:type="character" w:customStyle="1" w:styleId="td-label-value">
    <w:name w:val="td-label-value"/>
    <w:basedOn w:val="Domylnaczcionkaakapitu"/>
    <w:rsid w:val="009B1C00"/>
  </w:style>
  <w:style w:type="character" w:styleId="Nierozpoznanawzmianka">
    <w:name w:val="Unresolved Mention"/>
    <w:basedOn w:val="Domylnaczcionkaakapitu"/>
    <w:uiPriority w:val="99"/>
    <w:semiHidden/>
    <w:unhideWhenUsed/>
    <w:rsid w:val="00742EC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7E47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1514"/>
  </w:style>
  <w:style w:type="paragraph" w:styleId="Stopka">
    <w:name w:val="footer"/>
    <w:basedOn w:val="Normalny"/>
    <w:link w:val="StopkaZnak"/>
    <w:uiPriority w:val="99"/>
    <w:semiHidden/>
    <w:unhideWhenUsed/>
    <w:rsid w:val="007E47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21514"/>
  </w:style>
  <w:style w:type="paragraph" w:styleId="Poprawka">
    <w:name w:val="Revision"/>
    <w:hidden/>
    <w:uiPriority w:val="99"/>
    <w:semiHidden/>
    <w:rsid w:val="00C430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5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2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0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8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4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zena.cybulska@gum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rans-tacho.gum.gov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5" ma:contentTypeDescription="Utwórz nowy dokument." ma:contentTypeScope="" ma:versionID="1c3dfa6a1cdb1f1c5e9b098b29f72213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ed5f12755a5020f140f3ca032d8923ee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e771f4-4945-4d51-a6a1-cc2708d9e0bf">
      <Terms xmlns="http://schemas.microsoft.com/office/infopath/2007/PartnerControls"/>
    </lcf76f155ced4ddcb4097134ff3c332f>
    <TaxCatchAll xmlns="f49d979b-eda2-496b-b632-60628040c0d9" xsi:nil="true"/>
    <SharedWithUsers xmlns="f49d979b-eda2-496b-b632-60628040c0d9">
      <UserInfo>
        <DisplayName>Cybulska Marzena</DisplayName>
        <AccountId>224</AccountId>
        <AccountType/>
      </UserInfo>
    </SharedWithUsers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97910-DD69-4B4C-8E13-A550B565C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1ACFCE-1ECB-499D-971D-D04DCD4A8944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customXml/itemProps3.xml><?xml version="1.0" encoding="utf-8"?>
<ds:datastoreItem xmlns:ds="http://schemas.openxmlformats.org/officeDocument/2006/customXml" ds:itemID="{BB56BB14-E946-4C91-89C4-B46B62D678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4AD72E-A57D-4D7B-BF12-C730BEFDCB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3971</Words>
  <Characters>23831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27747</CharactersWithSpaces>
  <SharedDoc>false</SharedDoc>
  <HLinks>
    <vt:vector size="12" baseType="variant">
      <vt:variant>
        <vt:i4>4784228</vt:i4>
      </vt:variant>
      <vt:variant>
        <vt:i4>3</vt:i4>
      </vt:variant>
      <vt:variant>
        <vt:i4>0</vt:i4>
      </vt:variant>
      <vt:variant>
        <vt:i4>5</vt:i4>
      </vt:variant>
      <vt:variant>
        <vt:lpwstr>mailto:marzena.cybulska@gum.gov.pl</vt:lpwstr>
      </vt:variant>
      <vt:variant>
        <vt:lpwstr/>
      </vt:variant>
      <vt:variant>
        <vt:i4>2621493</vt:i4>
      </vt:variant>
      <vt:variant>
        <vt:i4>0</vt:i4>
      </vt:variant>
      <vt:variant>
        <vt:i4>0</vt:i4>
      </vt:variant>
      <vt:variant>
        <vt:i4>5</vt:i4>
      </vt:variant>
      <vt:variant>
        <vt:lpwstr>https://www.trans-tacho.gum.gov.pl/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Herman Anna</cp:lastModifiedBy>
  <cp:revision>4</cp:revision>
  <dcterms:created xsi:type="dcterms:W3CDTF">2024-02-14T09:35:00Z</dcterms:created>
  <dcterms:modified xsi:type="dcterms:W3CDTF">2024-02-16T15:00:00Z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